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005CC" w14:textId="77777777" w:rsidR="00F93A73" w:rsidRPr="000221B3" w:rsidRDefault="00F93A73" w:rsidP="00D65839">
      <w:pPr>
        <w:spacing w:before="120" w:after="120"/>
        <w:rPr>
          <w:b/>
          <w:color w:val="2F5496" w:themeColor="accent5" w:themeShade="BF"/>
        </w:rPr>
      </w:pPr>
      <w:bookmarkStart w:id="0" w:name="_GoBack"/>
      <w:bookmarkEnd w:id="0"/>
      <w:r w:rsidRPr="00C45D5F">
        <w:rPr>
          <w:b/>
          <w:color w:val="2E74B5" w:themeColor="accent1" w:themeShade="BF"/>
          <w:sz w:val="32"/>
          <w:szCs w:val="32"/>
        </w:rPr>
        <w:t>Title I Parents’ Right to Know Checklists</w:t>
      </w:r>
      <w:r w:rsidRPr="00C45D5F">
        <w:rPr>
          <w:b/>
          <w:color w:val="2E74B5" w:themeColor="accent1" w:themeShade="BF"/>
          <w:sz w:val="32"/>
          <w:szCs w:val="32"/>
        </w:rPr>
        <w:tab/>
      </w:r>
      <w:r w:rsidRPr="00C45D5F">
        <w:rPr>
          <w:b/>
          <w:color w:val="2E74B5" w:themeColor="accent1" w:themeShade="BF"/>
          <w:sz w:val="32"/>
          <w:szCs w:val="32"/>
        </w:rPr>
        <w:tab/>
      </w:r>
      <w:r w:rsidRPr="00C45D5F">
        <w:rPr>
          <w:b/>
          <w:color w:val="2E74B5" w:themeColor="accent1" w:themeShade="BF"/>
          <w:sz w:val="32"/>
          <w:szCs w:val="32"/>
        </w:rPr>
        <w:tab/>
      </w:r>
      <w:r w:rsidRPr="00C45D5F">
        <w:rPr>
          <w:b/>
          <w:color w:val="2E74B5" w:themeColor="accent1" w:themeShade="BF"/>
          <w:sz w:val="32"/>
          <w:szCs w:val="32"/>
        </w:rPr>
        <w:tab/>
      </w:r>
      <w:r w:rsidRPr="00C45D5F">
        <w:rPr>
          <w:b/>
          <w:color w:val="2E74B5" w:themeColor="accent1" w:themeShade="BF"/>
          <w:sz w:val="32"/>
          <w:szCs w:val="32"/>
        </w:rPr>
        <w:tab/>
      </w:r>
      <w:r w:rsidR="00DE6918">
        <w:rPr>
          <w:b/>
          <w:color w:val="2F5496" w:themeColor="accent5" w:themeShade="BF"/>
        </w:rPr>
        <w:pict w14:anchorId="18658A08">
          <v:rect id="_x0000_i1025" style="width:0;height:1.5pt" o:hralign="center" o:hrstd="t" o:hr="t" fillcolor="#a0a0a0" stroked="f"/>
        </w:pict>
      </w:r>
    </w:p>
    <w:p w14:paraId="36AB444B" w14:textId="02B33724" w:rsidR="00F93A73" w:rsidRDefault="00F93A73" w:rsidP="00EC05E5">
      <w:pPr>
        <w:rPr>
          <w:b/>
          <w:color w:val="2F5496" w:themeColor="accent5" w:themeShade="BF"/>
        </w:rPr>
      </w:pPr>
      <w:r w:rsidRPr="000221B3">
        <w:t xml:space="preserve">At the beginning of each school year, any LEA receiving Title I funds shall notify parents of </w:t>
      </w:r>
      <w:r w:rsidR="00AF59D4">
        <w:t>each s</w:t>
      </w:r>
      <w:r w:rsidRPr="000221B3">
        <w:t xml:space="preserve">tudent attending </w:t>
      </w:r>
      <w:r w:rsidR="00AF59D4">
        <w:t xml:space="preserve">any </w:t>
      </w:r>
      <w:r w:rsidRPr="000221B3">
        <w:t>Title I school of their right to know</w:t>
      </w:r>
      <w:r>
        <w:t xml:space="preserve"> the professional qualifications of their child’s classroom teacher and paraprofessional</w:t>
      </w:r>
      <w:r w:rsidRPr="000221B3">
        <w:t>, as outlined below. LEA’s are also required to provide an explanation of parental rights during the Annual Title I meeting.</w:t>
      </w:r>
      <w:r w:rsidR="00D65839" w:rsidRPr="00D65839">
        <w:rPr>
          <w:b/>
          <w:color w:val="2F5496" w:themeColor="accent5" w:themeShade="BF"/>
        </w:rPr>
        <w:t xml:space="preserve"> </w:t>
      </w:r>
    </w:p>
    <w:p w14:paraId="305712E1" w14:textId="77777777" w:rsidR="009F0603" w:rsidRPr="000221B3" w:rsidRDefault="009F0603" w:rsidP="00EC05E5">
      <w:pPr>
        <w:rPr>
          <w:b/>
          <w:sz w:val="24"/>
          <w:szCs w:val="24"/>
        </w:rPr>
      </w:pPr>
    </w:p>
    <w:p w14:paraId="6367BB46" w14:textId="7C5D1AC3" w:rsidR="00F93A73" w:rsidRPr="000221B3" w:rsidRDefault="00F93A73" w:rsidP="00EC05E5">
      <w:pPr>
        <w:rPr>
          <w:b/>
        </w:rPr>
      </w:pPr>
      <w:r w:rsidRPr="000221B3">
        <w:rPr>
          <w:b/>
        </w:rPr>
        <w:t>Parent</w:t>
      </w:r>
      <w:r w:rsidR="002077C0">
        <w:rPr>
          <w:b/>
        </w:rPr>
        <w:t>s’</w:t>
      </w:r>
      <w:r w:rsidRPr="000221B3">
        <w:rPr>
          <w:b/>
        </w:rPr>
        <w:t xml:space="preserve"> Right to Know Qualifications</w:t>
      </w:r>
    </w:p>
    <w:p w14:paraId="1D8857F4" w14:textId="0DD50901" w:rsidR="00F93A73" w:rsidRDefault="00F93A73" w:rsidP="00EC05E5">
      <w:r w:rsidRPr="000221B3">
        <w:t xml:space="preserve">LEA notifies parents of </w:t>
      </w:r>
      <w:r>
        <w:t xml:space="preserve">each student attending any </w:t>
      </w:r>
      <w:r w:rsidRPr="000221B3">
        <w:t>Title I school of their right to request, and receive</w:t>
      </w:r>
      <w:r>
        <w:t xml:space="preserve"> in a timely manner, i</w:t>
      </w:r>
      <w:r w:rsidRPr="000221B3">
        <w:t>nformation regarding the professional qualification</w:t>
      </w:r>
      <w:r>
        <w:t>s of the student’s classroom teachers and paraprofessionals. ESSA, Sec. 1112(e</w:t>
      </w:r>
      <w:proofErr w:type="gramStart"/>
      <w:r>
        <w:t>)(</w:t>
      </w:r>
      <w:proofErr w:type="gramEnd"/>
      <w:r>
        <w:t xml:space="preserve">1)(A) </w:t>
      </w:r>
    </w:p>
    <w:p w14:paraId="40C7133A" w14:textId="77777777" w:rsidR="009F0603" w:rsidRPr="00EC05E5" w:rsidRDefault="009F0603" w:rsidP="00EC05E5">
      <w:pPr>
        <w:rPr>
          <w:sz w:val="16"/>
          <w:szCs w:val="16"/>
        </w:rPr>
      </w:pPr>
    </w:p>
    <w:tbl>
      <w:tblPr>
        <w:tblStyle w:val="TableGrid"/>
        <w:tblW w:w="11142" w:type="dxa"/>
        <w:tblLook w:val="04A0" w:firstRow="1" w:lastRow="0" w:firstColumn="1" w:lastColumn="0" w:noHBand="0" w:noVBand="1"/>
      </w:tblPr>
      <w:tblGrid>
        <w:gridCol w:w="7751"/>
        <w:gridCol w:w="534"/>
        <w:gridCol w:w="534"/>
        <w:gridCol w:w="2323"/>
      </w:tblGrid>
      <w:tr w:rsidR="00C45D5F" w:rsidRPr="000221B3" w14:paraId="4E4B5CCE" w14:textId="77777777" w:rsidTr="00EC05E5">
        <w:trPr>
          <w:trHeight w:val="652"/>
        </w:trPr>
        <w:tc>
          <w:tcPr>
            <w:tcW w:w="7751" w:type="dxa"/>
            <w:shd w:val="clear" w:color="auto" w:fill="BDD6EE" w:themeFill="accent1" w:themeFillTint="66"/>
            <w:vAlign w:val="center"/>
          </w:tcPr>
          <w:p w14:paraId="12A2F838" w14:textId="77777777" w:rsidR="00F93A73" w:rsidRPr="000221B3" w:rsidRDefault="00D65839" w:rsidP="00EC05E5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F93A73" w:rsidRPr="000221B3">
              <w:rPr>
                <w:b/>
              </w:rPr>
              <w:t>onsiderations</w:t>
            </w:r>
          </w:p>
        </w:tc>
        <w:tc>
          <w:tcPr>
            <w:tcW w:w="534" w:type="dxa"/>
            <w:shd w:val="clear" w:color="auto" w:fill="BDD6EE" w:themeFill="accent1" w:themeFillTint="66"/>
            <w:vAlign w:val="center"/>
          </w:tcPr>
          <w:p w14:paraId="11194840" w14:textId="77777777" w:rsidR="00F93A73" w:rsidRPr="000221B3" w:rsidRDefault="00F93A73" w:rsidP="00EC05E5">
            <w:pPr>
              <w:jc w:val="center"/>
              <w:rPr>
                <w:b/>
              </w:rPr>
            </w:pPr>
            <w:r w:rsidRPr="000221B3">
              <w:rPr>
                <w:b/>
              </w:rPr>
              <w:t>Yes</w:t>
            </w:r>
          </w:p>
        </w:tc>
        <w:tc>
          <w:tcPr>
            <w:tcW w:w="534" w:type="dxa"/>
            <w:shd w:val="clear" w:color="auto" w:fill="BDD6EE" w:themeFill="accent1" w:themeFillTint="66"/>
            <w:vAlign w:val="center"/>
          </w:tcPr>
          <w:p w14:paraId="11F572CE" w14:textId="77777777" w:rsidR="00F93A73" w:rsidRPr="000221B3" w:rsidRDefault="00F93A73" w:rsidP="00EC05E5">
            <w:pPr>
              <w:jc w:val="center"/>
              <w:rPr>
                <w:b/>
              </w:rPr>
            </w:pPr>
            <w:r w:rsidRPr="000221B3">
              <w:rPr>
                <w:b/>
              </w:rPr>
              <w:t>No</w:t>
            </w:r>
          </w:p>
        </w:tc>
        <w:tc>
          <w:tcPr>
            <w:tcW w:w="2323" w:type="dxa"/>
            <w:shd w:val="clear" w:color="auto" w:fill="BDD6EE" w:themeFill="accent1" w:themeFillTint="66"/>
            <w:vAlign w:val="center"/>
          </w:tcPr>
          <w:p w14:paraId="1041FB1E" w14:textId="77777777" w:rsidR="00F93A73" w:rsidRPr="000221B3" w:rsidRDefault="00F93A73" w:rsidP="00EC05E5">
            <w:pPr>
              <w:jc w:val="center"/>
              <w:rPr>
                <w:b/>
              </w:rPr>
            </w:pPr>
            <w:r w:rsidRPr="000221B3">
              <w:rPr>
                <w:b/>
              </w:rPr>
              <w:t>Comment/Evidence</w:t>
            </w:r>
          </w:p>
        </w:tc>
      </w:tr>
      <w:tr w:rsidR="00F93A73" w:rsidRPr="000221B3" w14:paraId="0389A997" w14:textId="77777777" w:rsidTr="00EC05E5">
        <w:trPr>
          <w:trHeight w:val="832"/>
        </w:trPr>
        <w:tc>
          <w:tcPr>
            <w:tcW w:w="7751" w:type="dxa"/>
          </w:tcPr>
          <w:p w14:paraId="3C341970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  <w:r w:rsidRPr="000221B3">
              <w:t xml:space="preserve">Does the LEA have a process and timeline for informing parents of their right to know the qualifications of </w:t>
            </w:r>
            <w:r>
              <w:t xml:space="preserve">their student’s classroom </w:t>
            </w:r>
            <w:r w:rsidRPr="000221B3">
              <w:t>teachers</w:t>
            </w:r>
            <w:r>
              <w:t xml:space="preserve"> or </w:t>
            </w:r>
            <w:r w:rsidRPr="000221B3">
              <w:t xml:space="preserve">paraprofessionals </w:t>
            </w:r>
            <w:r>
              <w:t>o</w:t>
            </w:r>
            <w:r w:rsidRPr="000221B3">
              <w:t>n request?</w:t>
            </w:r>
          </w:p>
        </w:tc>
        <w:tc>
          <w:tcPr>
            <w:tcW w:w="534" w:type="dxa"/>
          </w:tcPr>
          <w:p w14:paraId="35C0A5EB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  <w:tc>
          <w:tcPr>
            <w:tcW w:w="534" w:type="dxa"/>
          </w:tcPr>
          <w:p w14:paraId="3AAA061B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  <w:tc>
          <w:tcPr>
            <w:tcW w:w="2323" w:type="dxa"/>
          </w:tcPr>
          <w:p w14:paraId="27B91C91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</w:tr>
      <w:tr w:rsidR="00F93A73" w:rsidRPr="000221B3" w14:paraId="20C025EA" w14:textId="77777777" w:rsidTr="00EC05E5">
        <w:trPr>
          <w:trHeight w:val="832"/>
        </w:trPr>
        <w:tc>
          <w:tcPr>
            <w:tcW w:w="7751" w:type="dxa"/>
          </w:tcPr>
          <w:p w14:paraId="533BC133" w14:textId="0BC0AC16" w:rsidR="00F93A73" w:rsidRPr="000221B3" w:rsidRDefault="00F93A73" w:rsidP="00EC05E5">
            <w:pPr>
              <w:rPr>
                <w:b/>
                <w:sz w:val="24"/>
                <w:szCs w:val="24"/>
              </w:rPr>
            </w:pPr>
            <w:r w:rsidRPr="000221B3">
              <w:t>Does the LEA distribute</w:t>
            </w:r>
            <w:r>
              <w:t xml:space="preserve"> this </w:t>
            </w:r>
            <w:r w:rsidRPr="000221B3">
              <w:t xml:space="preserve">“Right to Know” </w:t>
            </w:r>
            <w:r>
              <w:t xml:space="preserve">information to </w:t>
            </w:r>
            <w:r w:rsidR="00AF59D4" w:rsidRPr="00AF59D4">
              <w:rPr>
                <w:b/>
              </w:rPr>
              <w:t>parents</w:t>
            </w:r>
            <w:r w:rsidRPr="00AE7F44">
              <w:rPr>
                <w:b/>
              </w:rPr>
              <w:t xml:space="preserve"> of every student</w:t>
            </w:r>
            <w:r>
              <w:t xml:space="preserve"> </w:t>
            </w:r>
            <w:r w:rsidRPr="000221B3">
              <w:t xml:space="preserve">in </w:t>
            </w:r>
            <w:r>
              <w:t xml:space="preserve">every </w:t>
            </w:r>
            <w:r w:rsidRPr="000221B3">
              <w:t>Title I school</w:t>
            </w:r>
            <w:r w:rsidR="00A9527F">
              <w:t xml:space="preserve"> in </w:t>
            </w:r>
            <w:r w:rsidR="00A9527F" w:rsidRPr="000221B3">
              <w:t>an understandable format, and to the extent practical, in a language that parents understand</w:t>
            </w:r>
            <w:r w:rsidRPr="000221B3">
              <w:t>?</w:t>
            </w:r>
          </w:p>
        </w:tc>
        <w:tc>
          <w:tcPr>
            <w:tcW w:w="534" w:type="dxa"/>
          </w:tcPr>
          <w:p w14:paraId="366F95F9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  <w:tc>
          <w:tcPr>
            <w:tcW w:w="534" w:type="dxa"/>
          </w:tcPr>
          <w:p w14:paraId="71D94021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  <w:tc>
          <w:tcPr>
            <w:tcW w:w="2323" w:type="dxa"/>
          </w:tcPr>
          <w:p w14:paraId="367E278D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</w:tr>
      <w:tr w:rsidR="00F93A73" w:rsidRPr="000221B3" w14:paraId="6AAD6562" w14:textId="77777777" w:rsidTr="00EC05E5">
        <w:trPr>
          <w:trHeight w:val="2429"/>
        </w:trPr>
        <w:tc>
          <w:tcPr>
            <w:tcW w:w="7751" w:type="dxa"/>
          </w:tcPr>
          <w:p w14:paraId="067B45BF" w14:textId="77777777" w:rsidR="00F93A73" w:rsidRDefault="00F93A73" w:rsidP="00EC05E5">
            <w:r>
              <w:t>Does the notification include the following information:</w:t>
            </w:r>
          </w:p>
          <w:p w14:paraId="422F6BA8" w14:textId="77777777" w:rsidR="00F93A73" w:rsidRPr="00E41015" w:rsidRDefault="00F93A73" w:rsidP="00EC05E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="NewCenturySchlbk-Roman"/>
                <w:color w:val="000000" w:themeColor="text1"/>
                <w:sz w:val="22"/>
                <w:szCs w:val="22"/>
              </w:rPr>
            </w:pPr>
            <w:r w:rsidRPr="00E41015">
              <w:rPr>
                <w:rFonts w:asciiTheme="minorHAnsi" w:hAnsiTheme="minorHAnsi" w:cs="NewCenturySchlbk-Roman"/>
                <w:color w:val="000000" w:themeColor="text1"/>
                <w:sz w:val="22"/>
                <w:szCs w:val="22"/>
              </w:rPr>
              <w:t>Whether the student’s teacher:</w:t>
            </w:r>
          </w:p>
          <w:p w14:paraId="3041D982" w14:textId="77777777" w:rsidR="00F93A73" w:rsidRPr="00C45D5F" w:rsidRDefault="00F93A73" w:rsidP="00EC05E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NewCenturySchlbk-Roman"/>
                <w:color w:val="000000" w:themeColor="text1"/>
                <w:sz w:val="22"/>
                <w:szCs w:val="22"/>
              </w:rPr>
            </w:pPr>
            <w:r w:rsidRPr="00E41015">
              <w:rPr>
                <w:rFonts w:asciiTheme="minorHAnsi" w:hAnsiTheme="minorHAnsi" w:cs="NewCenturySchlbk-Roman"/>
                <w:color w:val="000000" w:themeColor="text1"/>
                <w:sz w:val="22"/>
                <w:szCs w:val="22"/>
              </w:rPr>
              <w:t xml:space="preserve">has </w:t>
            </w:r>
            <w:r w:rsidRPr="00C45D5F">
              <w:rPr>
                <w:rFonts w:asciiTheme="minorHAnsi" w:hAnsiTheme="minorHAnsi" w:cs="NewCenturySchlbk-Roman"/>
                <w:color w:val="000000" w:themeColor="text1"/>
                <w:sz w:val="22"/>
                <w:szCs w:val="22"/>
              </w:rPr>
              <w:t xml:space="preserve">met State qualification and licensing criteria for the grade levels and subject areas in which the teacher provides instruction; </w:t>
            </w:r>
          </w:p>
          <w:p w14:paraId="69422305" w14:textId="77777777" w:rsidR="00F93A73" w:rsidRPr="00C45D5F" w:rsidRDefault="00F93A73" w:rsidP="00EC05E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NewCenturySchlbk-Roman"/>
                <w:color w:val="000000" w:themeColor="text1"/>
                <w:sz w:val="22"/>
                <w:szCs w:val="22"/>
              </w:rPr>
            </w:pPr>
            <w:r w:rsidRPr="00C45D5F">
              <w:rPr>
                <w:rFonts w:asciiTheme="minorHAnsi" w:hAnsiTheme="minorHAnsi" w:cs="NewCenturySchlbk-Roman"/>
                <w:color w:val="000000" w:themeColor="text1"/>
                <w:sz w:val="22"/>
                <w:szCs w:val="22"/>
              </w:rPr>
              <w:t>is teaching under emergency or other provisional status through which State qualification or licensing criteria have been waived; and</w:t>
            </w:r>
          </w:p>
          <w:p w14:paraId="29466C02" w14:textId="77777777" w:rsidR="00F93A73" w:rsidRPr="00C45D5F" w:rsidRDefault="00F93A73" w:rsidP="00EC05E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="NewCenturySchlbk-Roman"/>
                <w:color w:val="000000" w:themeColor="text1"/>
                <w:sz w:val="22"/>
                <w:szCs w:val="22"/>
              </w:rPr>
            </w:pPr>
            <w:proofErr w:type="gramStart"/>
            <w:r w:rsidRPr="00C45D5F">
              <w:rPr>
                <w:rFonts w:asciiTheme="minorHAnsi" w:hAnsiTheme="minorHAnsi" w:cs="NewCenturySchlbk-Roman"/>
                <w:color w:val="000000" w:themeColor="text1"/>
                <w:sz w:val="22"/>
                <w:szCs w:val="22"/>
              </w:rPr>
              <w:t>is</w:t>
            </w:r>
            <w:proofErr w:type="gramEnd"/>
            <w:r w:rsidRPr="00C45D5F">
              <w:rPr>
                <w:rFonts w:asciiTheme="minorHAnsi" w:hAnsiTheme="minorHAnsi" w:cs="NewCenturySchlbk-Roman"/>
                <w:color w:val="000000" w:themeColor="text1"/>
                <w:sz w:val="22"/>
                <w:szCs w:val="22"/>
              </w:rPr>
              <w:t xml:space="preserve"> teaching in the field of discipline of the certification of the teacher.</w:t>
            </w:r>
          </w:p>
          <w:p w14:paraId="0DAA3F81" w14:textId="77777777" w:rsidR="00F93A73" w:rsidRPr="000221B3" w:rsidRDefault="00F93A73" w:rsidP="00EC05E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E41015">
              <w:rPr>
                <w:rFonts w:asciiTheme="minorHAnsi" w:hAnsiTheme="minorHAnsi" w:cs="NewCenturySchlbk-Roman"/>
                <w:color w:val="000000" w:themeColor="text1"/>
                <w:sz w:val="22"/>
                <w:szCs w:val="22"/>
              </w:rPr>
              <w:t>Whether a student is provided services by paraprofessionals and, if so, their qualifications.</w:t>
            </w:r>
          </w:p>
        </w:tc>
        <w:tc>
          <w:tcPr>
            <w:tcW w:w="534" w:type="dxa"/>
          </w:tcPr>
          <w:p w14:paraId="5752E2DF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  <w:tc>
          <w:tcPr>
            <w:tcW w:w="534" w:type="dxa"/>
          </w:tcPr>
          <w:p w14:paraId="21D668E5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  <w:tc>
          <w:tcPr>
            <w:tcW w:w="2323" w:type="dxa"/>
          </w:tcPr>
          <w:p w14:paraId="3982D18A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</w:tr>
      <w:tr w:rsidR="00F93A73" w:rsidRPr="000221B3" w14:paraId="68FFBEFB" w14:textId="77777777" w:rsidTr="00EC05E5">
        <w:trPr>
          <w:trHeight w:val="575"/>
        </w:trPr>
        <w:tc>
          <w:tcPr>
            <w:tcW w:w="7751" w:type="dxa"/>
          </w:tcPr>
          <w:p w14:paraId="19176108" w14:textId="77777777" w:rsidR="00F93A73" w:rsidRPr="000221B3" w:rsidRDefault="00F93A73" w:rsidP="00EC05E5">
            <w:pPr>
              <w:rPr>
                <w:i/>
              </w:rPr>
            </w:pPr>
            <w:r w:rsidRPr="000221B3">
              <w:t xml:space="preserve">Does the LEA maintain evidence </w:t>
            </w:r>
            <w:r>
              <w:t xml:space="preserve">of the </w:t>
            </w:r>
            <w:r w:rsidRPr="000221B3">
              <w:t>notification</w:t>
            </w:r>
            <w:r>
              <w:t xml:space="preserve"> process and timelines for responding</w:t>
            </w:r>
            <w:r w:rsidRPr="000221B3">
              <w:t xml:space="preserve">? </w:t>
            </w:r>
          </w:p>
        </w:tc>
        <w:tc>
          <w:tcPr>
            <w:tcW w:w="534" w:type="dxa"/>
          </w:tcPr>
          <w:p w14:paraId="30F2301F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  <w:tc>
          <w:tcPr>
            <w:tcW w:w="534" w:type="dxa"/>
          </w:tcPr>
          <w:p w14:paraId="562CE249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  <w:tc>
          <w:tcPr>
            <w:tcW w:w="2323" w:type="dxa"/>
          </w:tcPr>
          <w:p w14:paraId="12F2003C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</w:tr>
      <w:tr w:rsidR="00F93A73" w:rsidRPr="000221B3" w14:paraId="5CF065B1" w14:textId="77777777" w:rsidTr="00EC05E5">
        <w:trPr>
          <w:trHeight w:val="755"/>
        </w:trPr>
        <w:tc>
          <w:tcPr>
            <w:tcW w:w="7751" w:type="dxa"/>
          </w:tcPr>
          <w:p w14:paraId="364EA470" w14:textId="19FD335D" w:rsidR="00F93A73" w:rsidRPr="000221B3" w:rsidRDefault="00F93A73" w:rsidP="00EC05E5">
            <w:r w:rsidRPr="000221B3">
              <w:t xml:space="preserve">Does the LEA maintain evidence that the notifications were distributed to all parents in </w:t>
            </w:r>
            <w:r>
              <w:t xml:space="preserve">every </w:t>
            </w:r>
            <w:r w:rsidRPr="000221B3">
              <w:t>Title I participating school each year</w:t>
            </w:r>
            <w:r w:rsidR="00A9527F">
              <w:t xml:space="preserve"> in an understandable format, and to the extent practicable, in a language that parents understand</w:t>
            </w:r>
            <w:r w:rsidRPr="000221B3">
              <w:t>?</w:t>
            </w:r>
          </w:p>
        </w:tc>
        <w:tc>
          <w:tcPr>
            <w:tcW w:w="534" w:type="dxa"/>
          </w:tcPr>
          <w:p w14:paraId="02071CD5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  <w:tc>
          <w:tcPr>
            <w:tcW w:w="534" w:type="dxa"/>
          </w:tcPr>
          <w:p w14:paraId="65E9B712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  <w:tc>
          <w:tcPr>
            <w:tcW w:w="2323" w:type="dxa"/>
          </w:tcPr>
          <w:p w14:paraId="52212760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</w:tr>
    </w:tbl>
    <w:p w14:paraId="0D7A0CA6" w14:textId="77777777" w:rsidR="00D65839" w:rsidRPr="00D65839" w:rsidRDefault="00D65839" w:rsidP="00EC05E5">
      <w:pPr>
        <w:rPr>
          <w:b/>
          <w:sz w:val="4"/>
          <w:szCs w:val="4"/>
        </w:rPr>
      </w:pPr>
    </w:p>
    <w:p w14:paraId="1539CFDE" w14:textId="77777777" w:rsidR="009F0603" w:rsidRDefault="009F0603" w:rsidP="00EC05E5">
      <w:pPr>
        <w:rPr>
          <w:b/>
        </w:rPr>
      </w:pPr>
    </w:p>
    <w:p w14:paraId="1E43EB83" w14:textId="638C377E" w:rsidR="00F93A73" w:rsidRPr="000221B3" w:rsidRDefault="00F93A73" w:rsidP="00EC05E5">
      <w:pPr>
        <w:rPr>
          <w:b/>
        </w:rPr>
      </w:pPr>
      <w:r w:rsidRPr="000221B3">
        <w:rPr>
          <w:b/>
        </w:rPr>
        <w:t xml:space="preserve">Parental Notification of </w:t>
      </w:r>
      <w:r>
        <w:rPr>
          <w:b/>
        </w:rPr>
        <w:t>Teachers Who Do Not Meet State Certification or Licensure Requirements</w:t>
      </w:r>
    </w:p>
    <w:p w14:paraId="2EAEC4B3" w14:textId="65E82B1F" w:rsidR="00F93A73" w:rsidRDefault="00F93A73" w:rsidP="00EC05E5">
      <w:r w:rsidRPr="000221B3">
        <w:t xml:space="preserve">LEA notifies the parents of </w:t>
      </w:r>
      <w:r>
        <w:t xml:space="preserve">any </w:t>
      </w:r>
      <w:r w:rsidRPr="000221B3">
        <w:t>child</w:t>
      </w:r>
      <w:r>
        <w:t xml:space="preserve"> in a Title I school if their child has been taught for 4</w:t>
      </w:r>
      <w:r w:rsidRPr="000221B3">
        <w:t xml:space="preserve"> or more </w:t>
      </w:r>
      <w:r w:rsidRPr="00AF59D4">
        <w:rPr>
          <w:i/>
        </w:rPr>
        <w:t>consecutive weeks</w:t>
      </w:r>
      <w:r>
        <w:t xml:space="preserve"> by a teacher who does not meet requirements</w:t>
      </w:r>
      <w:r w:rsidRPr="000221B3">
        <w:t>.</w:t>
      </w:r>
      <w:r w:rsidRPr="000221B3">
        <w:rPr>
          <w:sz w:val="16"/>
          <w:szCs w:val="16"/>
        </w:rPr>
        <w:t xml:space="preserve"> </w:t>
      </w:r>
      <w:r>
        <w:t>ESSA, Sec. 1112(e</w:t>
      </w:r>
      <w:proofErr w:type="gramStart"/>
      <w:r>
        <w:t>)(</w:t>
      </w:r>
      <w:proofErr w:type="gramEnd"/>
      <w:r>
        <w:t xml:space="preserve">1)(B) </w:t>
      </w:r>
    </w:p>
    <w:p w14:paraId="16CB3C4D" w14:textId="77777777" w:rsidR="009F0603" w:rsidRPr="00EC05E5" w:rsidRDefault="009F0603" w:rsidP="00EC05E5">
      <w:pPr>
        <w:rPr>
          <w:sz w:val="16"/>
          <w:szCs w:val="16"/>
        </w:rPr>
      </w:pPr>
    </w:p>
    <w:tbl>
      <w:tblPr>
        <w:tblStyle w:val="TableGrid"/>
        <w:tblW w:w="11155" w:type="dxa"/>
        <w:tblLook w:val="04A0" w:firstRow="1" w:lastRow="0" w:firstColumn="1" w:lastColumn="0" w:noHBand="0" w:noVBand="1"/>
      </w:tblPr>
      <w:tblGrid>
        <w:gridCol w:w="7735"/>
        <w:gridCol w:w="540"/>
        <w:gridCol w:w="540"/>
        <w:gridCol w:w="2340"/>
      </w:tblGrid>
      <w:tr w:rsidR="00D65839" w:rsidRPr="000221B3" w14:paraId="6203A245" w14:textId="77777777" w:rsidTr="00EC05E5">
        <w:trPr>
          <w:trHeight w:val="638"/>
        </w:trPr>
        <w:tc>
          <w:tcPr>
            <w:tcW w:w="7735" w:type="dxa"/>
            <w:shd w:val="clear" w:color="auto" w:fill="BDD6EE" w:themeFill="accent1" w:themeFillTint="66"/>
            <w:vAlign w:val="center"/>
          </w:tcPr>
          <w:p w14:paraId="01BCE524" w14:textId="77777777" w:rsidR="00F93A73" w:rsidRPr="000221B3" w:rsidRDefault="00F93A73" w:rsidP="00EC05E5">
            <w:pPr>
              <w:jc w:val="center"/>
              <w:rPr>
                <w:b/>
              </w:rPr>
            </w:pPr>
            <w:r w:rsidRPr="000221B3">
              <w:rPr>
                <w:b/>
              </w:rPr>
              <w:t>Considerations</w:t>
            </w:r>
          </w:p>
        </w:tc>
        <w:tc>
          <w:tcPr>
            <w:tcW w:w="540" w:type="dxa"/>
            <w:shd w:val="clear" w:color="auto" w:fill="BDD6EE" w:themeFill="accent1" w:themeFillTint="66"/>
            <w:vAlign w:val="center"/>
          </w:tcPr>
          <w:p w14:paraId="46AF4EF3" w14:textId="77777777" w:rsidR="00F93A73" w:rsidRPr="000221B3" w:rsidRDefault="00F93A73" w:rsidP="00EC05E5">
            <w:pPr>
              <w:jc w:val="center"/>
              <w:rPr>
                <w:b/>
              </w:rPr>
            </w:pPr>
            <w:r w:rsidRPr="000221B3">
              <w:rPr>
                <w:b/>
              </w:rPr>
              <w:t>Yes</w:t>
            </w:r>
          </w:p>
        </w:tc>
        <w:tc>
          <w:tcPr>
            <w:tcW w:w="540" w:type="dxa"/>
            <w:shd w:val="clear" w:color="auto" w:fill="BDD6EE" w:themeFill="accent1" w:themeFillTint="66"/>
            <w:vAlign w:val="center"/>
          </w:tcPr>
          <w:p w14:paraId="4E7494F3" w14:textId="77777777" w:rsidR="00F93A73" w:rsidRPr="000221B3" w:rsidRDefault="00F93A73" w:rsidP="00EC05E5">
            <w:pPr>
              <w:jc w:val="center"/>
              <w:rPr>
                <w:b/>
              </w:rPr>
            </w:pPr>
            <w:r w:rsidRPr="000221B3">
              <w:rPr>
                <w:b/>
              </w:rPr>
              <w:t>No</w:t>
            </w:r>
          </w:p>
        </w:tc>
        <w:tc>
          <w:tcPr>
            <w:tcW w:w="2340" w:type="dxa"/>
            <w:shd w:val="clear" w:color="auto" w:fill="BDD6EE" w:themeFill="accent1" w:themeFillTint="66"/>
            <w:vAlign w:val="center"/>
          </w:tcPr>
          <w:p w14:paraId="6983027F" w14:textId="77777777" w:rsidR="00F93A73" w:rsidRPr="000221B3" w:rsidRDefault="00F93A73" w:rsidP="00EC05E5">
            <w:pPr>
              <w:jc w:val="center"/>
              <w:rPr>
                <w:b/>
              </w:rPr>
            </w:pPr>
            <w:r w:rsidRPr="000221B3">
              <w:rPr>
                <w:b/>
              </w:rPr>
              <w:t>Comment/Evidence</w:t>
            </w:r>
          </w:p>
        </w:tc>
      </w:tr>
      <w:tr w:rsidR="00F93A73" w:rsidRPr="000221B3" w14:paraId="00B8E7AC" w14:textId="77777777" w:rsidTr="00EC05E5">
        <w:tc>
          <w:tcPr>
            <w:tcW w:w="7735" w:type="dxa"/>
          </w:tcPr>
          <w:p w14:paraId="40750CA1" w14:textId="44BB617B" w:rsidR="00F93A73" w:rsidRPr="000221B3" w:rsidRDefault="00F93A73" w:rsidP="00EC05E5">
            <w:pPr>
              <w:rPr>
                <w:b/>
                <w:sz w:val="24"/>
                <w:szCs w:val="24"/>
              </w:rPr>
            </w:pPr>
            <w:r w:rsidRPr="000221B3">
              <w:t>Does the LEA have a process and timeline for notifying</w:t>
            </w:r>
            <w:r>
              <w:t xml:space="preserve"> each individual</w:t>
            </w:r>
            <w:r w:rsidRPr="000221B3">
              <w:t xml:space="preserve"> </w:t>
            </w:r>
            <w:r>
              <w:t>parent</w:t>
            </w:r>
            <w:r w:rsidRPr="000221B3">
              <w:t xml:space="preserve"> when their child is taught for 4 or more consecutive weeks by a teacher</w:t>
            </w:r>
            <w:r>
              <w:t xml:space="preserve"> who does not meet applicable State certification or licensure requirements at the grade level and </w:t>
            </w:r>
            <w:r w:rsidR="00A9527F">
              <w:t xml:space="preserve">in the </w:t>
            </w:r>
            <w:r>
              <w:t>subject area in which the teacher has been assigned?</w:t>
            </w:r>
          </w:p>
        </w:tc>
        <w:tc>
          <w:tcPr>
            <w:tcW w:w="540" w:type="dxa"/>
          </w:tcPr>
          <w:p w14:paraId="657254FA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6E32E883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14:paraId="320EE6CC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</w:tr>
      <w:tr w:rsidR="00F93A73" w:rsidRPr="000221B3" w14:paraId="5CF15311" w14:textId="77777777" w:rsidTr="00EC05E5">
        <w:tc>
          <w:tcPr>
            <w:tcW w:w="7735" w:type="dxa"/>
          </w:tcPr>
          <w:p w14:paraId="509C5081" w14:textId="77777777" w:rsidR="00F93A73" w:rsidRPr="000221B3" w:rsidRDefault="00F93A73" w:rsidP="00EC05E5">
            <w:pPr>
              <w:rPr>
                <w:i/>
              </w:rPr>
            </w:pPr>
            <w:r w:rsidRPr="000221B3">
              <w:t>Does the LEA maintain evidence of the process</w:t>
            </w:r>
            <w:r>
              <w:t xml:space="preserve">? </w:t>
            </w:r>
          </w:p>
        </w:tc>
        <w:tc>
          <w:tcPr>
            <w:tcW w:w="540" w:type="dxa"/>
          </w:tcPr>
          <w:p w14:paraId="17C94659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1F9C8F56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14:paraId="5433A943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</w:tr>
      <w:tr w:rsidR="00F93A73" w:rsidRPr="000221B3" w14:paraId="5A78FC3D" w14:textId="77777777" w:rsidTr="00EC05E5">
        <w:tc>
          <w:tcPr>
            <w:tcW w:w="7735" w:type="dxa"/>
          </w:tcPr>
          <w:p w14:paraId="310CAA50" w14:textId="6595773D" w:rsidR="00F93A73" w:rsidRPr="000221B3" w:rsidRDefault="00F93A73" w:rsidP="00EC05E5">
            <w:r w:rsidRPr="000221B3">
              <w:t xml:space="preserve">Does the LEA maintain evidence </w:t>
            </w:r>
            <w:r w:rsidR="00AF59D4">
              <w:t>each time a notification is sent</w:t>
            </w:r>
            <w:r w:rsidRPr="000221B3">
              <w:t>?</w:t>
            </w:r>
          </w:p>
        </w:tc>
        <w:tc>
          <w:tcPr>
            <w:tcW w:w="540" w:type="dxa"/>
          </w:tcPr>
          <w:p w14:paraId="4DEE918F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5452F443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14:paraId="0D719BF7" w14:textId="77777777" w:rsidR="00F93A73" w:rsidRPr="000221B3" w:rsidRDefault="00F93A73" w:rsidP="00EC05E5">
            <w:pPr>
              <w:rPr>
                <w:b/>
                <w:sz w:val="24"/>
                <w:szCs w:val="24"/>
              </w:rPr>
            </w:pPr>
          </w:p>
        </w:tc>
      </w:tr>
    </w:tbl>
    <w:p w14:paraId="6E71A220" w14:textId="77777777" w:rsidR="00BD5513" w:rsidRDefault="00D65839" w:rsidP="00D65839">
      <w:pPr>
        <w:spacing w:before="120"/>
      </w:pPr>
      <w:r>
        <w:rPr>
          <w:i/>
        </w:rPr>
        <w:t>N</w:t>
      </w:r>
      <w:r w:rsidR="00F93A73" w:rsidRPr="000221B3">
        <w:rPr>
          <w:i/>
        </w:rPr>
        <w:t xml:space="preserve">ote: The CRP </w:t>
      </w:r>
      <w:r w:rsidR="00F93A73">
        <w:rPr>
          <w:i/>
        </w:rPr>
        <w:t>may</w:t>
      </w:r>
      <w:r w:rsidR="00F93A73" w:rsidRPr="000221B3">
        <w:rPr>
          <w:i/>
        </w:rPr>
        <w:t xml:space="preserve"> serve as acceptable documentation for the LEA’s process and timeline.</w:t>
      </w:r>
    </w:p>
    <w:sectPr w:rsidR="00BD5513" w:rsidSect="00F93A73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42F39" w14:textId="77777777" w:rsidR="00DE6918" w:rsidRDefault="00DE6918" w:rsidP="00D65839">
      <w:r>
        <w:separator/>
      </w:r>
    </w:p>
  </w:endnote>
  <w:endnote w:type="continuationSeparator" w:id="0">
    <w:p w14:paraId="75E92AE5" w14:textId="77777777" w:rsidR="00DE6918" w:rsidRDefault="00DE6918" w:rsidP="00D6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CenturySchlbk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9FC3D" w14:textId="77777777" w:rsidR="00D65839" w:rsidRDefault="00D65839" w:rsidP="00D65839">
    <w:pPr>
      <w:pStyle w:val="Footer"/>
      <w:jc w:val="right"/>
    </w:pPr>
    <w:r>
      <w:t>Updated February 2017</w:t>
    </w:r>
  </w:p>
  <w:p w14:paraId="7F1E8234" w14:textId="77777777" w:rsidR="00D65839" w:rsidRDefault="00D658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482B1" w14:textId="77777777" w:rsidR="00DE6918" w:rsidRDefault="00DE6918" w:rsidP="00D65839">
      <w:r>
        <w:separator/>
      </w:r>
    </w:p>
  </w:footnote>
  <w:footnote w:type="continuationSeparator" w:id="0">
    <w:p w14:paraId="1B831B31" w14:textId="77777777" w:rsidR="00DE6918" w:rsidRDefault="00DE6918" w:rsidP="00D658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8562E"/>
    <w:multiLevelType w:val="hybridMultilevel"/>
    <w:tmpl w:val="CCF0A74C"/>
    <w:lvl w:ilvl="0" w:tplc="63AEA4F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  <w:sz w:val="22"/>
        <w:u w:color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600BAC"/>
    <w:multiLevelType w:val="hybridMultilevel"/>
    <w:tmpl w:val="BAB660BC"/>
    <w:lvl w:ilvl="0" w:tplc="1ABE4D9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  <w:sz w:val="22"/>
        <w:u w:color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A73"/>
    <w:rsid w:val="002077C0"/>
    <w:rsid w:val="004412DE"/>
    <w:rsid w:val="00853E8C"/>
    <w:rsid w:val="009F0603"/>
    <w:rsid w:val="00A9527F"/>
    <w:rsid w:val="00AF59D4"/>
    <w:rsid w:val="00BD5513"/>
    <w:rsid w:val="00C45D5F"/>
    <w:rsid w:val="00CB3105"/>
    <w:rsid w:val="00D65839"/>
    <w:rsid w:val="00DE6918"/>
    <w:rsid w:val="00E0548E"/>
    <w:rsid w:val="00E73746"/>
    <w:rsid w:val="00EC05E5"/>
    <w:rsid w:val="00F13863"/>
    <w:rsid w:val="00F9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E4E1B"/>
  <w15:chartTrackingRefBased/>
  <w15:docId w15:val="{A022350C-721E-4340-B68D-7003EFC15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A7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3A73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93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3A7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58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839"/>
  </w:style>
  <w:style w:type="paragraph" w:styleId="Footer">
    <w:name w:val="footer"/>
    <w:basedOn w:val="Normal"/>
    <w:link w:val="FooterChar"/>
    <w:uiPriority w:val="99"/>
    <w:unhideWhenUsed/>
    <w:rsid w:val="00D658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839"/>
  </w:style>
  <w:style w:type="character" w:styleId="CommentReference">
    <w:name w:val="annotation reference"/>
    <w:basedOn w:val="DefaultParagraphFont"/>
    <w:uiPriority w:val="99"/>
    <w:semiHidden/>
    <w:unhideWhenUsed/>
    <w:rsid w:val="002077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77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77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77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77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7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7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A5AC082FB70648849E3BE961B643A0" ma:contentTypeVersion="10" ma:contentTypeDescription="Create a new document." ma:contentTypeScope="" ma:versionID="c6bd60eb6e80defa3a5e03079f703f29">
  <xsd:schema xmlns:xsd="http://www.w3.org/2001/XMLSchema" xmlns:xs="http://www.w3.org/2001/XMLSchema" xmlns:p="http://schemas.microsoft.com/office/2006/metadata/properties" xmlns:ns2="6a1f635c-d292-4469-a7df-b4015b1ad9f2" xmlns:ns3="fb4ce569-0273-4228-9157-33b14876d013" targetNamespace="http://schemas.microsoft.com/office/2006/metadata/properties" ma:root="true" ma:fieldsID="63dc663fb37bc7f11b56c0b958bb2fae" ns2:_="" ns3:_="">
    <xsd:import namespace="6a1f635c-d292-4469-a7df-b4015b1ad9f2"/>
    <xsd:import namespace="fb4ce569-0273-4228-9157-33b14876d0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1f635c-d292-4469-a7df-b4015b1ad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e569-0273-4228-9157-33b14876d01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480CF1-D519-4391-A19F-896A58FE03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B05222-BD0B-4CA1-9F9E-25A4C1F05C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6F7CEE-996C-4C82-B63F-869F492F2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1f635c-d292-4469-a7df-b4015b1ad9f2"/>
    <ds:schemaRef ds:uri="fb4ce569-0273-4228-9157-33b14876d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RIDE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Enos, Stephanie</dc:creator>
  <cp:keywords/>
  <dc:description/>
  <cp:lastModifiedBy>Deragon, Mike</cp:lastModifiedBy>
  <cp:revision>2</cp:revision>
  <dcterms:created xsi:type="dcterms:W3CDTF">2020-03-24T16:16:00Z</dcterms:created>
  <dcterms:modified xsi:type="dcterms:W3CDTF">2020-03-24T16:16:00Z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0x0101007CA5AC082FB70648849E3BE961B643A0</vt:lpwstr>
  </property>
</Properties>
</file>