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F7" w:rsidRDefault="00DE2713">
      <w:pPr>
        <w:pStyle w:val="Title"/>
        <w:rPr>
          <w:caps/>
          <w:sz w:val="32"/>
          <w:szCs w:val="32"/>
        </w:rPr>
      </w:pPr>
      <w:r>
        <w:rPr>
          <w:caps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800100" cy="685800"/>
            <wp:effectExtent l="0" t="0" r="0" b="0"/>
            <wp:wrapNone/>
            <wp:docPr id="6" name="Picture 6" descr="MCj034180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j0341802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71D">
        <w:rPr>
          <w:caps/>
          <w:sz w:val="32"/>
          <w:szCs w:val="32"/>
        </w:rPr>
        <w:t xml:space="preserve">                    </w:t>
      </w:r>
      <w:r w:rsidR="008621F7">
        <w:rPr>
          <w:caps/>
          <w:sz w:val="32"/>
          <w:szCs w:val="32"/>
        </w:rPr>
        <w:t>Annual Ranking of</w:t>
      </w:r>
    </w:p>
    <w:p w:rsidR="00BA071D" w:rsidRDefault="00BA071D">
      <w:pPr>
        <w:pStyle w:val="Title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                    </w:t>
      </w:r>
      <w:r w:rsidR="008621F7">
        <w:rPr>
          <w:caps/>
          <w:sz w:val="32"/>
          <w:szCs w:val="32"/>
        </w:rPr>
        <w:t xml:space="preserve">School Attendance Areas And </w:t>
      </w:r>
      <w:r>
        <w:rPr>
          <w:caps/>
          <w:sz w:val="32"/>
          <w:szCs w:val="32"/>
        </w:rPr>
        <w:t xml:space="preserve"> </w:t>
      </w:r>
    </w:p>
    <w:p w:rsidR="008621F7" w:rsidRDefault="00BA071D">
      <w:pPr>
        <w:pStyle w:val="Title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                    </w:t>
      </w:r>
      <w:r w:rsidR="008621F7">
        <w:rPr>
          <w:caps/>
          <w:sz w:val="32"/>
          <w:szCs w:val="32"/>
        </w:rPr>
        <w:t>SCHOOLS FOR TITLE I ELIGIBILITY</w:t>
      </w:r>
    </w:p>
    <w:p w:rsidR="00C50BCD" w:rsidRDefault="00C50BCD">
      <w:pPr>
        <w:pStyle w:val="Title"/>
        <w:rPr>
          <w:caps/>
          <w:sz w:val="32"/>
          <w:szCs w:val="32"/>
        </w:rPr>
      </w:pPr>
    </w:p>
    <w:p w:rsidR="008621F7" w:rsidRPr="004161B4" w:rsidRDefault="008621F7">
      <w:pPr>
        <w:pStyle w:val="Title"/>
        <w:jc w:val="left"/>
        <w:rPr>
          <w:sz w:val="16"/>
          <w:szCs w:val="16"/>
        </w:rPr>
      </w:pPr>
    </w:p>
    <w:p w:rsidR="008621F7" w:rsidRDefault="008A20C4" w:rsidP="004161B4">
      <w:pPr>
        <w:pStyle w:val="Title"/>
        <w:spacing w:line="360" w:lineRule="auto"/>
        <w:jc w:val="left"/>
        <w:rPr>
          <w:b w:val="0"/>
        </w:rPr>
      </w:pPr>
      <w:r w:rsidRPr="008A20C4">
        <w:rPr>
          <w:b w:val="0"/>
        </w:rPr>
        <w:t>In order to</w:t>
      </w:r>
      <w:r>
        <w:rPr>
          <w:b w:val="0"/>
        </w:rPr>
        <w:t xml:space="preserve"> </w:t>
      </w:r>
      <w:r w:rsidRPr="008A20C4">
        <w:rPr>
          <w:b w:val="0"/>
        </w:rPr>
        <w:t xml:space="preserve">determine </w:t>
      </w:r>
      <w:r w:rsidR="00297AD9">
        <w:rPr>
          <w:b w:val="0"/>
        </w:rPr>
        <w:t>the eligible</w:t>
      </w:r>
      <w:r>
        <w:rPr>
          <w:b w:val="0"/>
        </w:rPr>
        <w:t xml:space="preserve"> schools</w:t>
      </w:r>
      <w:r w:rsidR="00297AD9">
        <w:rPr>
          <w:b w:val="0"/>
        </w:rPr>
        <w:t xml:space="preserve"> that will participate in Title I, Part A</w:t>
      </w:r>
      <w:r>
        <w:rPr>
          <w:b w:val="0"/>
        </w:rPr>
        <w:t xml:space="preserve">, an LEA must annually rank </w:t>
      </w:r>
      <w:r w:rsidR="007D5BDB" w:rsidRPr="007D5BDB">
        <w:rPr>
          <w:b w:val="0"/>
        </w:rPr>
        <w:t>all of its school attendance areas (the geographic area from which a public school draws its children) according to their percent of poverty.</w:t>
      </w:r>
      <w:r w:rsidR="00297AD9">
        <w:rPr>
          <w:b w:val="0"/>
        </w:rPr>
        <w:t xml:space="preserve">  The LEA must first rank and serve, without regard to grade span, school attendance areas above 75% poverty (high schools at</w:t>
      </w:r>
      <w:r w:rsidR="00E42A40">
        <w:rPr>
          <w:b w:val="0"/>
        </w:rPr>
        <w:t xml:space="preserve"> or </w:t>
      </w:r>
      <w:r w:rsidR="00297AD9">
        <w:rPr>
          <w:b w:val="0"/>
        </w:rPr>
        <w:t xml:space="preserve">above 50% poverty </w:t>
      </w:r>
      <w:r w:rsidR="00297AD9" w:rsidRPr="003031FB">
        <w:rPr>
          <w:b w:val="0"/>
          <w:i/>
        </w:rPr>
        <w:t>may</w:t>
      </w:r>
      <w:r w:rsidR="00297AD9">
        <w:rPr>
          <w:b w:val="0"/>
        </w:rPr>
        <w:t xml:space="preserve"> be included in this group</w:t>
      </w:r>
      <w:bookmarkStart w:id="0" w:name="_GoBack"/>
      <w:bookmarkEnd w:id="0"/>
      <w:r w:rsidR="00297AD9">
        <w:rPr>
          <w:b w:val="0"/>
        </w:rPr>
        <w:t xml:space="preserve">).  After the LEA has served </w:t>
      </w:r>
      <w:r w:rsidR="00297AD9" w:rsidRPr="003031FB">
        <w:rPr>
          <w:b w:val="0"/>
          <w:u w:val="single"/>
        </w:rPr>
        <w:t>all</w:t>
      </w:r>
      <w:r w:rsidR="00297AD9">
        <w:rPr>
          <w:b w:val="0"/>
        </w:rPr>
        <w:t xml:space="preserve"> of these schools, it may then rank and serve </w:t>
      </w:r>
      <w:r w:rsidR="00E42A40">
        <w:rPr>
          <w:b w:val="0"/>
        </w:rPr>
        <w:t xml:space="preserve">the </w:t>
      </w:r>
      <w:r w:rsidR="00297AD9">
        <w:rPr>
          <w:b w:val="0"/>
        </w:rPr>
        <w:t>remaining school attendance areas</w:t>
      </w:r>
      <w:r w:rsidR="00E42A40">
        <w:rPr>
          <w:b w:val="0"/>
        </w:rPr>
        <w:t>.</w:t>
      </w:r>
      <w:r w:rsidR="00297AD9">
        <w:rPr>
          <w:b w:val="0"/>
        </w:rPr>
        <w:t xml:space="preserve"> </w:t>
      </w:r>
      <w:r w:rsidR="00E42A40">
        <w:rPr>
          <w:b w:val="0"/>
        </w:rPr>
        <w:t xml:space="preserve"> In doing so,</w:t>
      </w:r>
      <w:r w:rsidR="00E42A40" w:rsidRPr="00E42A40">
        <w:t xml:space="preserve"> </w:t>
      </w:r>
      <w:r w:rsidR="00E42A40" w:rsidRPr="003031FB">
        <w:rPr>
          <w:b w:val="0"/>
        </w:rPr>
        <w:t>t</w:t>
      </w:r>
      <w:r w:rsidR="00E42A40" w:rsidRPr="00F94BC3">
        <w:rPr>
          <w:b w:val="0"/>
        </w:rPr>
        <w:t>h</w:t>
      </w:r>
      <w:r w:rsidR="00E42A40" w:rsidRPr="00E42A40">
        <w:rPr>
          <w:b w:val="0"/>
        </w:rPr>
        <w:t>e LEA has the option to (1) continue on with the district-wide ranking or (2) rank remaining areas by grade span groupings.</w:t>
      </w:r>
      <w:r w:rsidR="00E42A40">
        <w:rPr>
          <w:b w:val="0"/>
        </w:rPr>
        <w:t xml:space="preserve">  </w:t>
      </w:r>
      <w:r w:rsidR="00E42A40" w:rsidRPr="00E42A40">
        <w:rPr>
          <w:b w:val="0"/>
        </w:rPr>
        <w:t>An LEA with an enrollment of less than 1,000 students or with only one school per grade span is not required to rank its school attendance areas.</w:t>
      </w:r>
    </w:p>
    <w:p w:rsidR="00C50BCD" w:rsidRDefault="00C50BCD" w:rsidP="004161B4">
      <w:pPr>
        <w:pStyle w:val="Title"/>
        <w:spacing w:line="360" w:lineRule="auto"/>
        <w:jc w:val="left"/>
        <w:rPr>
          <w:b w:val="0"/>
        </w:rPr>
      </w:pPr>
    </w:p>
    <w:p w:rsidR="008A20C4" w:rsidRPr="007462FC" w:rsidRDefault="008A20C4">
      <w:pPr>
        <w:pStyle w:val="Title"/>
        <w:jc w:val="left"/>
        <w:rPr>
          <w:b w:val="0"/>
          <w:sz w:val="16"/>
          <w:szCs w:val="16"/>
        </w:rPr>
      </w:pPr>
    </w:p>
    <w:p w:rsidR="008621F7" w:rsidRPr="00011BEF" w:rsidRDefault="00DE2713" w:rsidP="00AA6B0E">
      <w:pPr>
        <w:spacing w:line="360" w:lineRule="auto"/>
        <w:ind w:left="1440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7705" cy="645795"/>
            <wp:effectExtent l="0" t="0" r="0" b="0"/>
            <wp:wrapNone/>
            <wp:docPr id="7" name="Picture 7" descr="j0196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1965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2D5" w:rsidRPr="005E22D5">
        <w:rPr>
          <w:b/>
        </w:rPr>
        <w:t>Y</w:t>
      </w:r>
      <w:r w:rsidR="008621F7" w:rsidRPr="00011BEF">
        <w:rPr>
          <w:b/>
          <w:bCs/>
          <w:sz w:val="28"/>
          <w:szCs w:val="28"/>
        </w:rPr>
        <w:t>ou will need to know:</w:t>
      </w:r>
    </w:p>
    <w:p w:rsidR="008621F7" w:rsidRPr="008A20C4" w:rsidRDefault="008621F7" w:rsidP="00795686">
      <w:pPr>
        <w:numPr>
          <w:ilvl w:val="0"/>
          <w:numId w:val="13"/>
        </w:numPr>
        <w:tabs>
          <w:tab w:val="clear" w:pos="0"/>
        </w:tabs>
        <w:ind w:left="1800"/>
      </w:pPr>
      <w:r w:rsidRPr="008A20C4">
        <w:t>Name</w:t>
      </w:r>
      <w:r w:rsidR="005E22D5">
        <w:t>,</w:t>
      </w:r>
      <w:r w:rsidRPr="008A20C4">
        <w:t xml:space="preserve"> grade span</w:t>
      </w:r>
      <w:r w:rsidR="005E22D5">
        <w:t>, and school code</w:t>
      </w:r>
      <w:r w:rsidRPr="008A20C4">
        <w:t xml:space="preserve"> of all schools in your district</w:t>
      </w:r>
      <w:r w:rsidR="007D5BDB">
        <w:t>;</w:t>
      </w:r>
    </w:p>
    <w:p w:rsidR="008621F7" w:rsidRPr="008A20C4" w:rsidRDefault="008621F7" w:rsidP="00795686">
      <w:pPr>
        <w:ind w:left="1800" w:hanging="360"/>
        <w:rPr>
          <w:sz w:val="16"/>
          <w:szCs w:val="16"/>
        </w:rPr>
      </w:pPr>
    </w:p>
    <w:p w:rsidR="008621F7" w:rsidRPr="008A20C4" w:rsidRDefault="008621F7" w:rsidP="00795686">
      <w:pPr>
        <w:numPr>
          <w:ilvl w:val="3"/>
          <w:numId w:val="7"/>
        </w:numPr>
        <w:tabs>
          <w:tab w:val="clear" w:pos="2520"/>
        </w:tabs>
        <w:ind w:left="1800"/>
      </w:pPr>
      <w:r w:rsidRPr="008A20C4">
        <w:t>Number of public resident children and number of public resident children from</w:t>
      </w:r>
      <w:r w:rsidR="00AA6B0E">
        <w:t xml:space="preserve"> </w:t>
      </w:r>
      <w:r w:rsidRPr="008A20C4">
        <w:t>low-income families</w:t>
      </w:r>
      <w:r w:rsidR="007D5BDB">
        <w:t>;</w:t>
      </w:r>
    </w:p>
    <w:p w:rsidR="008621F7" w:rsidRPr="008A20C4" w:rsidRDefault="008621F7" w:rsidP="00795686">
      <w:pPr>
        <w:ind w:left="1800"/>
        <w:rPr>
          <w:sz w:val="16"/>
          <w:szCs w:val="16"/>
        </w:rPr>
      </w:pPr>
    </w:p>
    <w:p w:rsidR="008621F7" w:rsidRPr="008A20C4" w:rsidRDefault="008621F7" w:rsidP="00795686">
      <w:pPr>
        <w:numPr>
          <w:ilvl w:val="0"/>
          <w:numId w:val="10"/>
        </w:numPr>
        <w:tabs>
          <w:tab w:val="clear" w:pos="720"/>
        </w:tabs>
        <w:ind w:left="1800"/>
      </w:pPr>
      <w:r w:rsidRPr="008A20C4">
        <w:t>Number of private resident children and number of private resident children from low-income families</w:t>
      </w:r>
      <w:r w:rsidR="007D5BDB">
        <w:t>;</w:t>
      </w:r>
    </w:p>
    <w:p w:rsidR="008621F7" w:rsidRPr="008A20C4" w:rsidRDefault="008621F7" w:rsidP="00795686">
      <w:pPr>
        <w:ind w:left="1800"/>
        <w:rPr>
          <w:sz w:val="16"/>
          <w:szCs w:val="16"/>
        </w:rPr>
      </w:pPr>
    </w:p>
    <w:p w:rsidR="008621F7" w:rsidRDefault="008621F7" w:rsidP="00795686">
      <w:pPr>
        <w:numPr>
          <w:ilvl w:val="0"/>
          <w:numId w:val="10"/>
        </w:numPr>
        <w:tabs>
          <w:tab w:val="clear" w:pos="720"/>
        </w:tabs>
        <w:ind w:left="1800"/>
      </w:pPr>
      <w:r w:rsidRPr="008A20C4">
        <w:t>Street addresses associated with school attendance areas</w:t>
      </w:r>
      <w:r w:rsidR="007D5BDB">
        <w:t>.</w:t>
      </w:r>
    </w:p>
    <w:p w:rsidR="00C50BCD" w:rsidRPr="008A20C4" w:rsidRDefault="00C50BCD" w:rsidP="00C50BCD">
      <w:pPr>
        <w:ind w:left="360"/>
      </w:pPr>
    </w:p>
    <w:p w:rsidR="00040723" w:rsidRPr="008A20C4" w:rsidRDefault="00040723" w:rsidP="00040723">
      <w:pPr>
        <w:ind w:left="360"/>
        <w:rPr>
          <w:sz w:val="16"/>
          <w:szCs w:val="16"/>
        </w:rPr>
      </w:pPr>
    </w:p>
    <w:p w:rsidR="008A20C4" w:rsidRDefault="008621F7">
      <w:pPr>
        <w:rPr>
          <w:b/>
          <w:bCs/>
          <w:sz w:val="28"/>
          <w:szCs w:val="28"/>
        </w:rPr>
      </w:pPr>
      <w:r w:rsidRPr="00040723">
        <w:t xml:space="preserve">     </w:t>
      </w:r>
      <w:r w:rsidRPr="00011BEF">
        <w:rPr>
          <w:b/>
          <w:bCs/>
          <w:sz w:val="28"/>
          <w:szCs w:val="28"/>
        </w:rPr>
        <w:t>Sources of information may include:</w:t>
      </w:r>
    </w:p>
    <w:p w:rsidR="00C50BCD" w:rsidRPr="00011BEF" w:rsidRDefault="00C50BCD">
      <w:pPr>
        <w:rPr>
          <w:b/>
          <w:bCs/>
          <w:sz w:val="28"/>
          <w:szCs w:val="28"/>
        </w:rPr>
      </w:pPr>
    </w:p>
    <w:p w:rsidR="008621F7" w:rsidRPr="008A20C4" w:rsidRDefault="008621F7">
      <w:pPr>
        <w:numPr>
          <w:ilvl w:val="0"/>
          <w:numId w:val="6"/>
        </w:numPr>
      </w:pPr>
      <w:r w:rsidRPr="008A20C4">
        <w:t>Data for enrollment and poverty information collected on a consistent date across all school attendance areas (example:  October 1 data report)</w:t>
      </w:r>
      <w:r w:rsidR="007D5BDB">
        <w:t>;</w:t>
      </w:r>
    </w:p>
    <w:p w:rsidR="008621F7" w:rsidRPr="008A20C4" w:rsidRDefault="008621F7">
      <w:pPr>
        <w:ind w:left="360"/>
        <w:rPr>
          <w:sz w:val="16"/>
          <w:szCs w:val="16"/>
        </w:rPr>
      </w:pPr>
    </w:p>
    <w:p w:rsidR="008621F7" w:rsidRPr="008A20C4" w:rsidRDefault="008621F7">
      <w:pPr>
        <w:numPr>
          <w:ilvl w:val="0"/>
          <w:numId w:val="6"/>
        </w:numPr>
      </w:pPr>
      <w:r w:rsidRPr="008A20C4">
        <w:t>List of private schools, both within and outside of the district, with number of children residing in the city or town</w:t>
      </w:r>
      <w:r w:rsidR="007D5BDB">
        <w:t>;</w:t>
      </w:r>
    </w:p>
    <w:p w:rsidR="008621F7" w:rsidRPr="008A20C4" w:rsidRDefault="008621F7">
      <w:pPr>
        <w:rPr>
          <w:sz w:val="16"/>
          <w:szCs w:val="16"/>
        </w:rPr>
      </w:pPr>
    </w:p>
    <w:p w:rsidR="008621F7" w:rsidRPr="008A20C4" w:rsidRDefault="008621F7">
      <w:pPr>
        <w:numPr>
          <w:ilvl w:val="0"/>
          <w:numId w:val="6"/>
        </w:numPr>
      </w:pPr>
      <w:r w:rsidRPr="008A20C4">
        <w:t>RIDE Educational Directory with contact information for private schools</w:t>
      </w:r>
      <w:r w:rsidR="007D5BDB">
        <w:t>;</w:t>
      </w:r>
    </w:p>
    <w:p w:rsidR="008621F7" w:rsidRPr="008A20C4" w:rsidRDefault="008621F7">
      <w:pPr>
        <w:rPr>
          <w:sz w:val="16"/>
          <w:szCs w:val="16"/>
        </w:rPr>
      </w:pPr>
    </w:p>
    <w:p w:rsidR="005E22D5" w:rsidRDefault="008621F7">
      <w:pPr>
        <w:numPr>
          <w:ilvl w:val="0"/>
          <w:numId w:val="6"/>
        </w:numPr>
      </w:pPr>
      <w:r w:rsidRPr="008A20C4">
        <w:t>Response from private schools re: street addresses, grade levels, educational need, and poverty information on all children from the district</w:t>
      </w:r>
      <w:r w:rsidR="007D5BDB">
        <w:t>;</w:t>
      </w:r>
      <w:r w:rsidRPr="008A20C4">
        <w:t xml:space="preserve">   </w:t>
      </w:r>
    </w:p>
    <w:p w:rsidR="005E22D5" w:rsidRPr="005E22D5" w:rsidRDefault="005E22D5" w:rsidP="005E22D5">
      <w:pPr>
        <w:rPr>
          <w:sz w:val="16"/>
          <w:szCs w:val="16"/>
        </w:rPr>
      </w:pPr>
    </w:p>
    <w:p w:rsidR="008B5CDE" w:rsidRDefault="00390A0F">
      <w:pPr>
        <w:numPr>
          <w:ilvl w:val="0"/>
          <w:numId w:val="6"/>
        </w:numPr>
      </w:pPr>
      <w:hyperlink r:id="rId10" w:history="1">
        <w:r w:rsidR="00B77796">
          <w:rPr>
            <w:rStyle w:val="Hyperlink"/>
          </w:rPr>
          <w:t>ESSA, Title I, Sec.1113, 1117</w:t>
        </w:r>
      </w:hyperlink>
      <w:r w:rsidR="007D5BDB">
        <w:t>;</w:t>
      </w:r>
      <w:r w:rsidR="008B5CDE">
        <w:t xml:space="preserve"> </w:t>
      </w:r>
    </w:p>
    <w:p w:rsidR="008B5CDE" w:rsidRPr="00B46ED4" w:rsidRDefault="008B5CDE" w:rsidP="008B5CDE">
      <w:pPr>
        <w:rPr>
          <w:sz w:val="16"/>
          <w:szCs w:val="16"/>
        </w:rPr>
      </w:pPr>
    </w:p>
    <w:p w:rsidR="008621F7" w:rsidRDefault="00390A0F">
      <w:pPr>
        <w:numPr>
          <w:ilvl w:val="0"/>
          <w:numId w:val="6"/>
        </w:numPr>
      </w:pPr>
      <w:hyperlink r:id="rId11" w:history="1">
        <w:r w:rsidR="00B77796">
          <w:rPr>
            <w:rStyle w:val="Hyperlink"/>
          </w:rPr>
          <w:t>Title I Regulations, 34 CFR §§200.70-200.71</w:t>
        </w:r>
      </w:hyperlink>
      <w:r w:rsidR="007D5BDB">
        <w:t>;</w:t>
      </w:r>
      <w:r w:rsidR="008621F7" w:rsidRPr="008A20C4">
        <w:t xml:space="preserve">  </w:t>
      </w:r>
    </w:p>
    <w:p w:rsidR="004161B4" w:rsidRPr="004161B4" w:rsidRDefault="004161B4" w:rsidP="004161B4">
      <w:pPr>
        <w:rPr>
          <w:sz w:val="16"/>
          <w:szCs w:val="16"/>
        </w:rPr>
      </w:pPr>
    </w:p>
    <w:p w:rsidR="00204C4D" w:rsidRDefault="00390A0F" w:rsidP="003031FB">
      <w:pPr>
        <w:numPr>
          <w:ilvl w:val="0"/>
          <w:numId w:val="6"/>
        </w:numPr>
      </w:pPr>
      <w:hyperlink r:id="rId12" w:history="1">
        <w:r w:rsidR="00204C4D" w:rsidRPr="00343841">
          <w:rPr>
            <w:rStyle w:val="Hyperlink"/>
          </w:rPr>
          <w:t>US ED Non Regulatory Guidance - Fiscal Changes and Equitable Services Requirements under ESSA, November 2016</w:t>
        </w:r>
      </w:hyperlink>
      <w:r w:rsidR="007D5BDB">
        <w:t>;</w:t>
      </w:r>
    </w:p>
    <w:p w:rsidR="00204C4D" w:rsidRPr="003031FB" w:rsidRDefault="00204C4D" w:rsidP="003031FB">
      <w:pPr>
        <w:rPr>
          <w:sz w:val="16"/>
          <w:szCs w:val="16"/>
        </w:rPr>
      </w:pPr>
    </w:p>
    <w:p w:rsidR="004161B4" w:rsidRDefault="00390A0F">
      <w:pPr>
        <w:numPr>
          <w:ilvl w:val="0"/>
          <w:numId w:val="6"/>
        </w:numPr>
      </w:pPr>
      <w:hyperlink r:id="rId13" w:history="1">
        <w:r w:rsidR="004161B4" w:rsidRPr="0002047C">
          <w:rPr>
            <w:rStyle w:val="Hyperlink"/>
          </w:rPr>
          <w:t>US ED Non Regulatory Guidance, School Attendance Areas and Allocation of Title I Funds, August 2003</w:t>
        </w:r>
      </w:hyperlink>
      <w:r w:rsidR="007D5BDB" w:rsidRPr="003031FB">
        <w:rPr>
          <w:rStyle w:val="Hyperlink"/>
          <w:color w:val="000000" w:themeColor="text1"/>
          <w:u w:val="none"/>
        </w:rPr>
        <w:t>.</w:t>
      </w:r>
    </w:p>
    <w:p w:rsidR="00C50BCD" w:rsidRDefault="00C50BCD" w:rsidP="00C50BCD"/>
    <w:p w:rsidR="00C50BCD" w:rsidRDefault="00C50BCD" w:rsidP="00C50BCD">
      <w:pPr>
        <w:ind w:left="360"/>
      </w:pPr>
    </w:p>
    <w:p w:rsidR="008A20C4" w:rsidRPr="008A20C4" w:rsidRDefault="008A20C4">
      <w:pPr>
        <w:pStyle w:val="BodyText"/>
        <w:rPr>
          <w:sz w:val="16"/>
          <w:szCs w:val="16"/>
        </w:rPr>
      </w:pPr>
    </w:p>
    <w:p w:rsidR="008621F7" w:rsidRDefault="00DE2713" w:rsidP="00AA6B0E">
      <w:pPr>
        <w:pStyle w:val="BodyText"/>
        <w:ind w:left="1440"/>
        <w:rPr>
          <w:bCs/>
          <w:sz w:val="28"/>
          <w:szCs w:val="28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12700</wp:posOffset>
            </wp:positionV>
            <wp:extent cx="685800" cy="571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21F7" w:rsidRPr="00011BEF">
        <w:rPr>
          <w:b/>
          <w:bCs/>
          <w:sz w:val="28"/>
          <w:szCs w:val="28"/>
        </w:rPr>
        <w:t>Documentation to keep on file for your annual ranking report</w:t>
      </w:r>
      <w:r w:rsidR="008621F7" w:rsidRPr="00D22B21">
        <w:rPr>
          <w:bCs/>
          <w:sz w:val="28"/>
          <w:szCs w:val="28"/>
        </w:rPr>
        <w:t>:</w:t>
      </w:r>
    </w:p>
    <w:p w:rsidR="00AA6B0E" w:rsidRDefault="00AA6B0E" w:rsidP="00AA6B0E">
      <w:pPr>
        <w:pStyle w:val="BodyText"/>
        <w:ind w:left="1440"/>
        <w:rPr>
          <w:b/>
          <w:bCs/>
          <w:sz w:val="18"/>
        </w:rPr>
      </w:pPr>
    </w:p>
    <w:p w:rsidR="008621F7" w:rsidRDefault="008621F7" w:rsidP="00AA6B0E">
      <w:pPr>
        <w:numPr>
          <w:ilvl w:val="0"/>
          <w:numId w:val="8"/>
        </w:numPr>
        <w:tabs>
          <w:tab w:val="clear" w:pos="1080"/>
        </w:tabs>
        <w:ind w:left="1800"/>
      </w:pPr>
      <w:r>
        <w:t>Enrollment and poverty information for public schoo</w:t>
      </w:r>
      <w:r w:rsidR="001C0882">
        <w:t xml:space="preserve">l children consistent across all </w:t>
      </w:r>
      <w:r>
        <w:t>attendance areas</w:t>
      </w:r>
      <w:r w:rsidR="00B77796">
        <w:t>;</w:t>
      </w:r>
    </w:p>
    <w:p w:rsidR="008621F7" w:rsidRPr="008A20C4" w:rsidRDefault="008621F7" w:rsidP="00AA6B0E">
      <w:pPr>
        <w:ind w:left="1800" w:hanging="360"/>
        <w:rPr>
          <w:sz w:val="16"/>
          <w:szCs w:val="16"/>
        </w:rPr>
      </w:pPr>
    </w:p>
    <w:p w:rsidR="008621F7" w:rsidRDefault="008621F7" w:rsidP="00AA6B0E">
      <w:pPr>
        <w:numPr>
          <w:ilvl w:val="0"/>
          <w:numId w:val="8"/>
        </w:numPr>
        <w:tabs>
          <w:tab w:val="clear" w:pos="1080"/>
        </w:tabs>
        <w:ind w:left="1800"/>
      </w:pPr>
      <w:r>
        <w:t>List of private schools, both within and outside of the district, with number of children residing in the city or town</w:t>
      </w:r>
      <w:r w:rsidR="00B77796">
        <w:t>;</w:t>
      </w:r>
    </w:p>
    <w:p w:rsidR="008621F7" w:rsidRPr="008A20C4" w:rsidRDefault="008621F7" w:rsidP="00AA6B0E">
      <w:pPr>
        <w:ind w:left="1800" w:hanging="360"/>
        <w:rPr>
          <w:sz w:val="16"/>
          <w:szCs w:val="16"/>
        </w:rPr>
      </w:pPr>
    </w:p>
    <w:p w:rsidR="008621F7" w:rsidRDefault="008621F7" w:rsidP="00AA6B0E">
      <w:pPr>
        <w:numPr>
          <w:ilvl w:val="0"/>
          <w:numId w:val="8"/>
        </w:numPr>
        <w:tabs>
          <w:tab w:val="clear" w:pos="1080"/>
        </w:tabs>
        <w:ind w:left="1800"/>
      </w:pPr>
      <w:r>
        <w:t>Evidence that all private schools were contacted to obtain street addresses, grade levels, educational need, and poverty information for private school children</w:t>
      </w:r>
      <w:r w:rsidR="00B77796">
        <w:t>;</w:t>
      </w:r>
    </w:p>
    <w:p w:rsidR="008621F7" w:rsidRPr="008A20C4" w:rsidRDefault="008621F7" w:rsidP="00AA6B0E">
      <w:pPr>
        <w:ind w:left="1800" w:hanging="360"/>
        <w:rPr>
          <w:sz w:val="16"/>
          <w:szCs w:val="16"/>
        </w:rPr>
      </w:pPr>
    </w:p>
    <w:p w:rsidR="008621F7" w:rsidRDefault="008621F7" w:rsidP="00AA6B0E">
      <w:pPr>
        <w:numPr>
          <w:ilvl w:val="0"/>
          <w:numId w:val="11"/>
        </w:numPr>
        <w:tabs>
          <w:tab w:val="clear" w:pos="1080"/>
        </w:tabs>
        <w:ind w:left="1800"/>
      </w:pPr>
      <w:r>
        <w:t>Evidence that the LEA used the same measure of poverty for identifying eligible school attendance areas and some comparable measure for private school children</w:t>
      </w:r>
      <w:r w:rsidR="00B77796">
        <w:t>;</w:t>
      </w:r>
    </w:p>
    <w:p w:rsidR="008621F7" w:rsidRPr="004161B4" w:rsidRDefault="008621F7" w:rsidP="00AA6B0E">
      <w:pPr>
        <w:ind w:left="1800" w:hanging="360"/>
        <w:rPr>
          <w:sz w:val="16"/>
          <w:szCs w:val="16"/>
        </w:rPr>
      </w:pPr>
    </w:p>
    <w:p w:rsidR="008621F7" w:rsidRDefault="008621F7" w:rsidP="00AA6B0E">
      <w:pPr>
        <w:numPr>
          <w:ilvl w:val="0"/>
          <w:numId w:val="11"/>
        </w:numPr>
        <w:tabs>
          <w:tab w:val="clear" w:pos="1080"/>
        </w:tabs>
        <w:ind w:left="1800"/>
      </w:pPr>
      <w:r>
        <w:t>Attendance area maps with designated street addresses</w:t>
      </w:r>
      <w:r w:rsidR="00B77796">
        <w:t>;</w:t>
      </w:r>
    </w:p>
    <w:p w:rsidR="008621F7" w:rsidRPr="004161B4" w:rsidRDefault="008621F7" w:rsidP="00AA6B0E">
      <w:pPr>
        <w:ind w:left="1800" w:hanging="360"/>
        <w:rPr>
          <w:sz w:val="16"/>
          <w:szCs w:val="16"/>
        </w:rPr>
      </w:pPr>
    </w:p>
    <w:p w:rsidR="00B77796" w:rsidRDefault="008621F7" w:rsidP="00B77796">
      <w:pPr>
        <w:numPr>
          <w:ilvl w:val="0"/>
          <w:numId w:val="8"/>
        </w:numPr>
        <w:tabs>
          <w:tab w:val="clear" w:pos="1080"/>
        </w:tabs>
        <w:ind w:left="1800"/>
      </w:pPr>
      <w:r>
        <w:t>Ranking Report documenting calculation of district wide poverty averages and percent of poverty for each attendanc</w:t>
      </w:r>
      <w:r w:rsidR="00C50BCD">
        <w:t>e</w:t>
      </w:r>
      <w:r>
        <w:t xml:space="preserve"> area</w:t>
      </w:r>
      <w:r w:rsidR="00B77796">
        <w:t>;</w:t>
      </w:r>
    </w:p>
    <w:p w:rsidR="00B77796" w:rsidRDefault="00B77796" w:rsidP="003031FB">
      <w:pPr>
        <w:ind w:left="1800"/>
      </w:pPr>
    </w:p>
    <w:p w:rsidR="00C50BCD" w:rsidRPr="00B77796" w:rsidRDefault="009A2601" w:rsidP="00B77796">
      <w:pPr>
        <w:numPr>
          <w:ilvl w:val="0"/>
          <w:numId w:val="8"/>
        </w:numPr>
        <w:tabs>
          <w:tab w:val="clear" w:pos="1080"/>
        </w:tabs>
        <w:ind w:left="1800"/>
      </w:pPr>
      <w:r>
        <w:t xml:space="preserve">If the LEA </w:t>
      </w:r>
      <w:r w:rsidR="00911456">
        <w:t>is</w:t>
      </w:r>
      <w:r>
        <w:t xml:space="preserve"> using elementary school attendance area feeder patterns as the measure of poverty</w:t>
      </w:r>
      <w:r w:rsidR="00911456">
        <w:t xml:space="preserve"> in its secondary schools</w:t>
      </w:r>
      <w:r>
        <w:t xml:space="preserve">, evidence that the majority of secondary schools have approved the use of this </w:t>
      </w:r>
      <w:r w:rsidR="00911456">
        <w:t>option</w:t>
      </w:r>
      <w:r>
        <w:t xml:space="preserve">. </w:t>
      </w:r>
    </w:p>
    <w:sectPr w:rsidR="00C50BCD" w:rsidRPr="00B77796" w:rsidSect="00C50BCD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796" w:rsidRDefault="00B77796" w:rsidP="00B77796">
      <w:r>
        <w:separator/>
      </w:r>
    </w:p>
  </w:endnote>
  <w:endnote w:type="continuationSeparator" w:id="0">
    <w:p w:rsidR="00B77796" w:rsidRDefault="00B77796" w:rsidP="00B7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96" w:rsidRPr="00B77796" w:rsidRDefault="00B77796" w:rsidP="00B77796">
    <w:pPr>
      <w:pStyle w:val="Footer"/>
      <w:jc w:val="center"/>
      <w:rPr>
        <w:sz w:val="20"/>
        <w:szCs w:val="20"/>
      </w:rPr>
    </w:pPr>
    <w:r w:rsidRPr="00B77796">
      <w:rPr>
        <w:sz w:val="20"/>
        <w:szCs w:val="20"/>
      </w:rPr>
      <w:tab/>
    </w:r>
    <w:sdt>
      <w:sdtPr>
        <w:rPr>
          <w:sz w:val="20"/>
          <w:szCs w:val="20"/>
        </w:rPr>
        <w:id w:val="-3957464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B77796">
          <w:rPr>
            <w:sz w:val="20"/>
            <w:szCs w:val="20"/>
          </w:rPr>
          <w:fldChar w:fldCharType="begin"/>
        </w:r>
        <w:r w:rsidRPr="00B77796">
          <w:rPr>
            <w:sz w:val="20"/>
            <w:szCs w:val="20"/>
          </w:rPr>
          <w:instrText xml:space="preserve"> PAGE   \* MERGEFORMAT </w:instrText>
        </w:r>
        <w:r w:rsidRPr="00B77796">
          <w:rPr>
            <w:sz w:val="20"/>
            <w:szCs w:val="20"/>
          </w:rPr>
          <w:fldChar w:fldCharType="separate"/>
        </w:r>
        <w:r w:rsidR="00390A0F">
          <w:rPr>
            <w:noProof/>
            <w:sz w:val="20"/>
            <w:szCs w:val="20"/>
          </w:rPr>
          <w:t>2</w:t>
        </w:r>
        <w:r w:rsidRPr="00B77796">
          <w:rPr>
            <w:noProof/>
            <w:sz w:val="20"/>
            <w:szCs w:val="20"/>
          </w:rPr>
          <w:fldChar w:fldCharType="end"/>
        </w:r>
        <w:r w:rsidRPr="00B77796">
          <w:rPr>
            <w:noProof/>
            <w:sz w:val="20"/>
            <w:szCs w:val="20"/>
          </w:rPr>
          <w:tab/>
          <w:t>May 2017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796" w:rsidRDefault="00B77796" w:rsidP="00B77796">
      <w:r>
        <w:separator/>
      </w:r>
    </w:p>
  </w:footnote>
  <w:footnote w:type="continuationSeparator" w:id="0">
    <w:p w:rsidR="00B77796" w:rsidRDefault="00B77796" w:rsidP="00B77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751"/>
    <w:multiLevelType w:val="hybridMultilevel"/>
    <w:tmpl w:val="2B9204D8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42404E7"/>
    <w:multiLevelType w:val="hybridMultilevel"/>
    <w:tmpl w:val="69FC4A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47090"/>
    <w:multiLevelType w:val="hybridMultilevel"/>
    <w:tmpl w:val="3962E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A7221"/>
    <w:multiLevelType w:val="hybridMultilevel"/>
    <w:tmpl w:val="745A3C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C650FD"/>
    <w:multiLevelType w:val="hybridMultilevel"/>
    <w:tmpl w:val="867E19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46D37"/>
    <w:multiLevelType w:val="hybridMultilevel"/>
    <w:tmpl w:val="2960A5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24696"/>
    <w:multiLevelType w:val="hybridMultilevel"/>
    <w:tmpl w:val="226029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5D7A56"/>
    <w:multiLevelType w:val="hybridMultilevel"/>
    <w:tmpl w:val="3A94C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2608D"/>
    <w:multiLevelType w:val="hybridMultilevel"/>
    <w:tmpl w:val="97900C2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15017"/>
    <w:multiLevelType w:val="hybridMultilevel"/>
    <w:tmpl w:val="B09E53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656270"/>
    <w:multiLevelType w:val="hybridMultilevel"/>
    <w:tmpl w:val="40A0A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118AD"/>
    <w:multiLevelType w:val="hybridMultilevel"/>
    <w:tmpl w:val="B17C642C"/>
    <w:lvl w:ilvl="0" w:tplc="04090001">
      <w:start w:val="1"/>
      <w:numFmt w:val="bullet"/>
      <w:lvlText w:val="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12" w15:restartNumberingAfterBreak="0">
    <w:nsid w:val="5B5C2F90"/>
    <w:multiLevelType w:val="hybridMultilevel"/>
    <w:tmpl w:val="DF6852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7"/>
  </w:num>
  <w:num w:numId="5">
    <w:abstractNumId w:val="2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9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F7"/>
    <w:rsid w:val="00011BEF"/>
    <w:rsid w:val="0002047C"/>
    <w:rsid w:val="00040723"/>
    <w:rsid w:val="000D224A"/>
    <w:rsid w:val="00162961"/>
    <w:rsid w:val="001C0882"/>
    <w:rsid w:val="00204C4D"/>
    <w:rsid w:val="00297AD9"/>
    <w:rsid w:val="002F6616"/>
    <w:rsid w:val="003031FB"/>
    <w:rsid w:val="00390A0F"/>
    <w:rsid w:val="003B0C86"/>
    <w:rsid w:val="004161B4"/>
    <w:rsid w:val="00501E7C"/>
    <w:rsid w:val="005C5BEB"/>
    <w:rsid w:val="005E22D5"/>
    <w:rsid w:val="007462FC"/>
    <w:rsid w:val="00795686"/>
    <w:rsid w:val="007D5BDB"/>
    <w:rsid w:val="008621F7"/>
    <w:rsid w:val="008A20C4"/>
    <w:rsid w:val="008B5CDE"/>
    <w:rsid w:val="00911456"/>
    <w:rsid w:val="00953E35"/>
    <w:rsid w:val="00986EFC"/>
    <w:rsid w:val="009A2601"/>
    <w:rsid w:val="00AA6B0E"/>
    <w:rsid w:val="00AC7EC8"/>
    <w:rsid w:val="00B46ED4"/>
    <w:rsid w:val="00B77796"/>
    <w:rsid w:val="00BA071D"/>
    <w:rsid w:val="00C50BCD"/>
    <w:rsid w:val="00C92094"/>
    <w:rsid w:val="00D22B21"/>
    <w:rsid w:val="00DE2713"/>
    <w:rsid w:val="00E42A40"/>
    <w:rsid w:val="00F9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1BD2BA-9698-4E99-AB44-62A3A2C2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sz w:val="32"/>
    </w:rPr>
  </w:style>
  <w:style w:type="paragraph" w:styleId="BalloonText">
    <w:name w:val="Balloon Text"/>
    <w:basedOn w:val="Normal"/>
    <w:semiHidden/>
    <w:rsid w:val="00986E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047C"/>
    <w:rPr>
      <w:color w:val="0000FF"/>
      <w:u w:val="single"/>
    </w:rPr>
  </w:style>
  <w:style w:type="paragraph" w:styleId="Header">
    <w:name w:val="header"/>
    <w:basedOn w:val="Normal"/>
    <w:link w:val="HeaderChar"/>
    <w:rsid w:val="00B777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779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77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796"/>
    <w:rPr>
      <w:sz w:val="24"/>
      <w:szCs w:val="24"/>
    </w:rPr>
  </w:style>
  <w:style w:type="character" w:styleId="CommentReference">
    <w:name w:val="annotation reference"/>
    <w:basedOn w:val="DefaultParagraphFont"/>
    <w:rsid w:val="00B777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7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77796"/>
  </w:style>
  <w:style w:type="paragraph" w:styleId="CommentSubject">
    <w:name w:val="annotation subject"/>
    <w:basedOn w:val="CommentText"/>
    <w:next w:val="CommentText"/>
    <w:link w:val="CommentSubjectChar"/>
    <w:rsid w:val="00B777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77796"/>
    <w:rPr>
      <w:b/>
      <w:bCs/>
    </w:rPr>
  </w:style>
  <w:style w:type="paragraph" w:styleId="ListParagraph">
    <w:name w:val="List Paragraph"/>
    <w:basedOn w:val="Normal"/>
    <w:uiPriority w:val="34"/>
    <w:qFormat/>
    <w:rsid w:val="00204C4D"/>
    <w:pPr>
      <w:ind w:left="720"/>
      <w:contextualSpacing/>
    </w:pPr>
  </w:style>
  <w:style w:type="character" w:styleId="FollowedHyperlink">
    <w:name w:val="FollowedHyperlink"/>
    <w:basedOn w:val="DefaultParagraphFont"/>
    <w:rsid w:val="007D5B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.gov/programs/titleiparta/wdag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2.ed.gov/policy/elsec/leg/essa/essaguidance160477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fr.gov/cgi-bin/text-idx?SID=347a9533eeb44a157c4096aea9d81ce1&amp;mc=true&amp;node=pt34.1.200&amp;rgn=div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2.ed.gov/documents/essa-act-of-1965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A1EF-828F-4CF8-98A2-4E85C071A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477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LEVEL SUB ALLOCATIONS</vt:lpstr>
    </vt:vector>
  </TitlesOfParts>
  <Company>RI Department of Education</Company>
  <LinksUpToDate>false</LinksUpToDate>
  <CharactersWithSpaces>3489</CharactersWithSpaces>
  <SharedDoc>false</SharedDoc>
  <HLinks>
    <vt:vector size="18" baseType="variant">
      <vt:variant>
        <vt:i4>7733307</vt:i4>
      </vt:variant>
      <vt:variant>
        <vt:i4>6</vt:i4>
      </vt:variant>
      <vt:variant>
        <vt:i4>0</vt:i4>
      </vt:variant>
      <vt:variant>
        <vt:i4>5</vt:i4>
      </vt:variant>
      <vt:variant>
        <vt:lpwstr>http://www.ed.gov/programs/titleiparta/wdag.doc</vt:lpwstr>
      </vt:variant>
      <vt:variant>
        <vt:lpwstr/>
      </vt:variant>
      <vt:variant>
        <vt:i4>65555</vt:i4>
      </vt:variant>
      <vt:variant>
        <vt:i4>3</vt:i4>
      </vt:variant>
      <vt:variant>
        <vt:i4>0</vt:i4>
      </vt:variant>
      <vt:variant>
        <vt:i4>5</vt:i4>
      </vt:variant>
      <vt:variant>
        <vt:lpwstr>http://www.thompson.com/images/tpg/nclb/titleia/34cfrpart200.pdf</vt:lpwstr>
      </vt:variant>
      <vt:variant>
        <vt:lpwstr/>
      </vt:variant>
      <vt:variant>
        <vt:i4>7274622</vt:i4>
      </vt:variant>
      <vt:variant>
        <vt:i4>0</vt:i4>
      </vt:variant>
      <vt:variant>
        <vt:i4>0</vt:i4>
      </vt:variant>
      <vt:variant>
        <vt:i4>5</vt:i4>
      </vt:variant>
      <vt:variant>
        <vt:lpwstr>http://www.ed.gov/policy/elsec/leg/esea02/pg2.html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LEVEL SUB ALLOCATIONS</dc:title>
  <dc:subject/>
  <dc:creator>Colleen Hedden</dc:creator>
  <cp:keywords/>
  <dc:description/>
  <cp:lastModifiedBy>Celani, Joseph</cp:lastModifiedBy>
  <cp:revision>9</cp:revision>
  <cp:lastPrinted>2008-04-01T17:51:00Z</cp:lastPrinted>
  <dcterms:created xsi:type="dcterms:W3CDTF">2017-05-31T13:27:00Z</dcterms:created>
  <dcterms:modified xsi:type="dcterms:W3CDTF">2017-06-01T17:50:00Z</dcterms:modified>
</cp:coreProperties>
</file>