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2B7" w:rsidRPr="001457B8" w:rsidRDefault="00803100">
      <w:pPr>
        <w:rPr>
          <w:b/>
          <w:bCs/>
        </w:rPr>
      </w:pPr>
      <w:r>
        <w:rPr>
          <w:b/>
          <w:bCs/>
        </w:rPr>
        <w:t xml:space="preserve">What is </w:t>
      </w:r>
      <w:proofErr w:type="spellStart"/>
      <w:r w:rsidR="00615536" w:rsidRPr="001457B8">
        <w:rPr>
          <w:b/>
          <w:bCs/>
        </w:rPr>
        <w:t>Disproportionality</w:t>
      </w:r>
      <w:proofErr w:type="spellEnd"/>
      <w:r w:rsidR="00615536" w:rsidRPr="001457B8">
        <w:rPr>
          <w:b/>
          <w:bCs/>
        </w:rPr>
        <w:t>?</w:t>
      </w:r>
    </w:p>
    <w:p w:rsidR="00521366" w:rsidRPr="00521366" w:rsidRDefault="00615536" w:rsidP="00521366">
      <w:r w:rsidRPr="00493EC7">
        <w:rPr>
          <w:b/>
        </w:rPr>
        <w:t>D</w:t>
      </w:r>
      <w:r w:rsidR="001457B8" w:rsidRPr="00493EC7">
        <w:rPr>
          <w:b/>
        </w:rPr>
        <w:t>isproportionate representation</w:t>
      </w:r>
      <w:r w:rsidR="001457B8" w:rsidRPr="00521366">
        <w:t xml:space="preserve"> </w:t>
      </w:r>
      <w:r w:rsidRPr="00521366">
        <w:t>refers to both “</w:t>
      </w:r>
      <w:r w:rsidRPr="00521366">
        <w:rPr>
          <w:b/>
          <w:bCs/>
        </w:rPr>
        <w:t>over-representation</w:t>
      </w:r>
      <w:r w:rsidRPr="00521366">
        <w:t>” and “</w:t>
      </w:r>
      <w:r w:rsidRPr="00521366">
        <w:rPr>
          <w:b/>
          <w:bCs/>
        </w:rPr>
        <w:t>under-representation</w:t>
      </w:r>
      <w:r w:rsidRPr="00521366">
        <w:t xml:space="preserve">” of specific demographic groups of students in special education or related services or programs </w:t>
      </w:r>
      <w:r w:rsidRPr="00521366">
        <w:rPr>
          <w:b/>
          <w:bCs/>
        </w:rPr>
        <w:t>that is the result of inappropriate identification</w:t>
      </w:r>
      <w:r w:rsidRPr="00521366">
        <w:t xml:space="preserve">. </w:t>
      </w:r>
      <w:r w:rsidR="008A54C8">
        <w:t xml:space="preserve"> </w:t>
      </w:r>
      <w:r w:rsidR="008A54C8">
        <w:rPr>
          <w:lang/>
        </w:rPr>
        <w:t>[34 CFR 300.173] [20 U.S.C. 1412(a</w:t>
      </w:r>
      <w:proofErr w:type="gramStart"/>
      <w:r w:rsidR="008A54C8">
        <w:rPr>
          <w:lang/>
        </w:rPr>
        <w:t>)(</w:t>
      </w:r>
      <w:proofErr w:type="gramEnd"/>
      <w:r w:rsidR="008A54C8">
        <w:rPr>
          <w:lang/>
        </w:rPr>
        <w:t>24)]</w:t>
      </w:r>
    </w:p>
    <w:p w:rsidR="00521366" w:rsidRPr="00521366" w:rsidRDefault="00521366" w:rsidP="00521366">
      <w:pPr>
        <w:pStyle w:val="Default"/>
        <w:rPr>
          <w:rFonts w:asciiTheme="minorHAnsi" w:hAnsiTheme="minorHAnsi"/>
          <w:sz w:val="22"/>
          <w:szCs w:val="22"/>
        </w:rPr>
      </w:pPr>
      <w:proofErr w:type="gramStart"/>
      <w:r w:rsidRPr="00521366">
        <w:rPr>
          <w:rFonts w:asciiTheme="minorHAnsi" w:hAnsiTheme="minorHAnsi"/>
          <w:b/>
          <w:bCs/>
          <w:sz w:val="22"/>
          <w:szCs w:val="22"/>
        </w:rPr>
        <w:t xml:space="preserve">Significant </w:t>
      </w:r>
      <w:proofErr w:type="spellStart"/>
      <w:r w:rsidRPr="00521366">
        <w:rPr>
          <w:rFonts w:asciiTheme="minorHAnsi" w:hAnsiTheme="minorHAnsi"/>
          <w:b/>
          <w:bCs/>
          <w:sz w:val="22"/>
          <w:szCs w:val="22"/>
        </w:rPr>
        <w:t>disproportionality</w:t>
      </w:r>
      <w:proofErr w:type="spellEnd"/>
      <w:r w:rsidRPr="00521366">
        <w:rPr>
          <w:rFonts w:asciiTheme="minorHAnsi" w:hAnsiTheme="minorHAnsi"/>
          <w:b/>
          <w:bCs/>
          <w:sz w:val="22"/>
          <w:szCs w:val="22"/>
        </w:rPr>
        <w:t>.</w:t>
      </w:r>
      <w:proofErr w:type="gramEnd"/>
      <w:r w:rsidRPr="00521366">
        <w:rPr>
          <w:rFonts w:asciiTheme="minorHAnsi" w:hAnsiTheme="minorHAnsi"/>
          <w:b/>
          <w:bCs/>
          <w:sz w:val="22"/>
          <w:szCs w:val="22"/>
        </w:rPr>
        <w:t xml:space="preserve"> </w:t>
      </w:r>
      <w:r w:rsidRPr="00521366">
        <w:rPr>
          <w:rFonts w:asciiTheme="minorHAnsi" w:hAnsiTheme="minorHAnsi"/>
          <w:sz w:val="22"/>
          <w:szCs w:val="22"/>
        </w:rPr>
        <w:t xml:space="preserve">States must collect and examine data for each of their districts annually to determine if significant </w:t>
      </w:r>
      <w:proofErr w:type="spellStart"/>
      <w:r w:rsidRPr="00521366">
        <w:rPr>
          <w:rFonts w:asciiTheme="minorHAnsi" w:hAnsiTheme="minorHAnsi"/>
          <w:sz w:val="22"/>
          <w:szCs w:val="22"/>
        </w:rPr>
        <w:t>disproportionality</w:t>
      </w:r>
      <w:proofErr w:type="spellEnd"/>
      <w:r w:rsidRPr="00521366">
        <w:rPr>
          <w:rFonts w:asciiTheme="minorHAnsi" w:hAnsiTheme="minorHAnsi"/>
          <w:sz w:val="22"/>
          <w:szCs w:val="22"/>
        </w:rPr>
        <w:t xml:space="preserve"> based on race or ethnicity is occurring with respect to: </w:t>
      </w:r>
    </w:p>
    <w:p w:rsidR="00521366" w:rsidRPr="00521366" w:rsidRDefault="00521366" w:rsidP="00521366">
      <w:pPr>
        <w:pStyle w:val="Default"/>
        <w:numPr>
          <w:ilvl w:val="0"/>
          <w:numId w:val="9"/>
        </w:numPr>
        <w:spacing w:after="258"/>
        <w:rPr>
          <w:rFonts w:asciiTheme="minorHAnsi" w:hAnsiTheme="minorHAnsi"/>
          <w:sz w:val="22"/>
          <w:szCs w:val="22"/>
        </w:rPr>
      </w:pPr>
      <w:r w:rsidRPr="00521366">
        <w:rPr>
          <w:rFonts w:asciiTheme="minorHAnsi" w:hAnsiTheme="minorHAnsi"/>
          <w:sz w:val="22"/>
          <w:szCs w:val="22"/>
        </w:rPr>
        <w:t xml:space="preserve">the </w:t>
      </w:r>
      <w:r w:rsidRPr="00521366">
        <w:rPr>
          <w:rFonts w:asciiTheme="minorHAnsi" w:hAnsiTheme="minorHAnsi"/>
          <w:i/>
          <w:iCs/>
          <w:sz w:val="22"/>
          <w:szCs w:val="22"/>
        </w:rPr>
        <w:t xml:space="preserve">identification </w:t>
      </w:r>
      <w:r w:rsidRPr="00521366">
        <w:rPr>
          <w:rFonts w:asciiTheme="minorHAnsi" w:hAnsiTheme="minorHAnsi"/>
          <w:sz w:val="22"/>
          <w:szCs w:val="22"/>
        </w:rPr>
        <w:t xml:space="preserve">of children as children with disabilities, including identification of children with particular disabilities; </w:t>
      </w:r>
    </w:p>
    <w:p w:rsidR="00521366" w:rsidRPr="00521366" w:rsidRDefault="00521366" w:rsidP="00521366">
      <w:pPr>
        <w:pStyle w:val="Default"/>
        <w:numPr>
          <w:ilvl w:val="0"/>
          <w:numId w:val="9"/>
        </w:numPr>
        <w:spacing w:after="258"/>
        <w:rPr>
          <w:rFonts w:asciiTheme="minorHAnsi" w:hAnsiTheme="minorHAnsi"/>
          <w:sz w:val="22"/>
          <w:szCs w:val="22"/>
        </w:rPr>
      </w:pPr>
      <w:r w:rsidRPr="00521366">
        <w:rPr>
          <w:rFonts w:asciiTheme="minorHAnsi" w:hAnsiTheme="minorHAnsi"/>
          <w:sz w:val="22"/>
          <w:szCs w:val="22"/>
        </w:rPr>
        <w:t xml:space="preserve">the </w:t>
      </w:r>
      <w:r w:rsidRPr="00521366">
        <w:rPr>
          <w:rFonts w:asciiTheme="minorHAnsi" w:hAnsiTheme="minorHAnsi"/>
          <w:i/>
          <w:iCs/>
          <w:sz w:val="22"/>
          <w:szCs w:val="22"/>
        </w:rPr>
        <w:t xml:space="preserve">placement </w:t>
      </w:r>
      <w:r w:rsidRPr="00521366">
        <w:rPr>
          <w:rFonts w:asciiTheme="minorHAnsi" w:hAnsiTheme="minorHAnsi"/>
          <w:sz w:val="22"/>
          <w:szCs w:val="22"/>
        </w:rPr>
        <w:t xml:space="preserve">of children in particular educational environments; and </w:t>
      </w:r>
    </w:p>
    <w:p w:rsidR="00521366" w:rsidRPr="00521366" w:rsidRDefault="00521366" w:rsidP="00521366">
      <w:pPr>
        <w:pStyle w:val="Default"/>
        <w:numPr>
          <w:ilvl w:val="0"/>
          <w:numId w:val="9"/>
        </w:numPr>
        <w:rPr>
          <w:rFonts w:asciiTheme="minorHAnsi" w:hAnsiTheme="minorHAnsi"/>
          <w:sz w:val="22"/>
          <w:szCs w:val="22"/>
        </w:rPr>
      </w:pPr>
      <w:proofErr w:type="gramStart"/>
      <w:r w:rsidRPr="00521366">
        <w:rPr>
          <w:rFonts w:asciiTheme="minorHAnsi" w:hAnsiTheme="minorHAnsi"/>
          <w:sz w:val="22"/>
          <w:szCs w:val="22"/>
        </w:rPr>
        <w:t>the</w:t>
      </w:r>
      <w:proofErr w:type="gramEnd"/>
      <w:r w:rsidRPr="00521366">
        <w:rPr>
          <w:rFonts w:asciiTheme="minorHAnsi" w:hAnsiTheme="minorHAnsi"/>
          <w:sz w:val="22"/>
          <w:szCs w:val="22"/>
        </w:rPr>
        <w:t xml:space="preserve"> incidence, duration, and type of </w:t>
      </w:r>
      <w:r w:rsidRPr="00521366">
        <w:rPr>
          <w:rFonts w:asciiTheme="minorHAnsi" w:hAnsiTheme="minorHAnsi"/>
          <w:i/>
          <w:iCs/>
          <w:sz w:val="22"/>
          <w:szCs w:val="22"/>
        </w:rPr>
        <w:t>disciplinary actions</w:t>
      </w:r>
      <w:r w:rsidRPr="00521366">
        <w:rPr>
          <w:rFonts w:asciiTheme="minorHAnsi" w:hAnsiTheme="minorHAnsi"/>
          <w:sz w:val="22"/>
          <w:szCs w:val="22"/>
        </w:rPr>
        <w:t xml:space="preserve">, including suspensions/expulsions. </w:t>
      </w:r>
    </w:p>
    <w:p w:rsidR="00803100" w:rsidRPr="00803100" w:rsidRDefault="00521366" w:rsidP="008A54C8">
      <w:pPr>
        <w:spacing w:before="100" w:beforeAutospacing="1" w:after="100" w:afterAutospacing="1" w:line="240" w:lineRule="auto"/>
        <w:ind w:left="360"/>
        <w:rPr>
          <w:rFonts w:ascii="Times New Roman" w:eastAsia="Times New Roman" w:hAnsi="Times New Roman" w:cs="Times New Roman"/>
          <w:sz w:val="24"/>
          <w:szCs w:val="24"/>
          <w:lang/>
        </w:rPr>
      </w:pPr>
      <w:r w:rsidRPr="00521366">
        <w:t xml:space="preserve">If significant </w:t>
      </w:r>
      <w:proofErr w:type="spellStart"/>
      <w:r w:rsidRPr="00521366">
        <w:t>disproportionality</w:t>
      </w:r>
      <w:proofErr w:type="spellEnd"/>
      <w:r w:rsidRPr="00521366">
        <w:t xml:space="preserve"> is identified, states must: (1) provide for the review (and, if appropriate) revision of </w:t>
      </w:r>
      <w:r w:rsidRPr="008A54C8">
        <w:rPr>
          <w:u w:val="single"/>
        </w:rPr>
        <w:t>policies, procedures, and practices</w:t>
      </w:r>
      <w:r w:rsidRPr="00521366">
        <w:t xml:space="preserve">; (2) require the district to reserve the maximum amount of funds (15%) to be used for </w:t>
      </w:r>
      <w:r w:rsidRPr="008A54C8">
        <w:rPr>
          <w:u w:val="single"/>
        </w:rPr>
        <w:t>coordinated early intervening services (CEIS);</w:t>
      </w:r>
      <w:r w:rsidRPr="00521366">
        <w:t xml:space="preserve"> and (3) require</w:t>
      </w:r>
      <w:r>
        <w:t xml:space="preserve"> the district to </w:t>
      </w:r>
      <w:r w:rsidRPr="008A54C8">
        <w:rPr>
          <w:u w:val="single"/>
        </w:rPr>
        <w:t>publicly report on the revision</w:t>
      </w:r>
      <w:r>
        <w:t xml:space="preserve"> of policies, procedures, and practices.</w:t>
      </w:r>
      <w:r w:rsidR="00803100">
        <w:t xml:space="preserve"> </w:t>
      </w:r>
    </w:p>
    <w:p w:rsidR="00521366" w:rsidRPr="008A54C8" w:rsidRDefault="00803100" w:rsidP="00803100">
      <w:r w:rsidRPr="008A54C8">
        <w:rPr>
          <w:rFonts w:eastAsia="Times New Roman" w:cs="Times New Roman"/>
          <w:lang/>
        </w:rPr>
        <w:t>[34 CFR 300.646(a)] [20 U.S.C. 1418(d</w:t>
      </w:r>
      <w:proofErr w:type="gramStart"/>
      <w:r w:rsidRPr="008A54C8">
        <w:rPr>
          <w:rFonts w:eastAsia="Times New Roman" w:cs="Times New Roman"/>
          <w:lang/>
        </w:rPr>
        <w:t>)(</w:t>
      </w:r>
      <w:proofErr w:type="gramEnd"/>
      <w:r w:rsidRPr="008A54C8">
        <w:rPr>
          <w:rFonts w:eastAsia="Times New Roman" w:cs="Times New Roman"/>
          <w:lang/>
        </w:rPr>
        <w:t>1)]</w:t>
      </w:r>
    </w:p>
    <w:p w:rsidR="00615536" w:rsidRPr="001457B8" w:rsidRDefault="00615536">
      <w:pPr>
        <w:rPr>
          <w:b/>
          <w:bCs/>
        </w:rPr>
      </w:pPr>
      <w:r w:rsidRPr="001457B8">
        <w:rPr>
          <w:b/>
          <w:bCs/>
        </w:rPr>
        <w:t xml:space="preserve">Racial/Ethnic Groups Counted For </w:t>
      </w:r>
      <w:proofErr w:type="spellStart"/>
      <w:r w:rsidRPr="001457B8">
        <w:rPr>
          <w:b/>
          <w:bCs/>
        </w:rPr>
        <w:t>Disproportionality</w:t>
      </w:r>
      <w:proofErr w:type="spellEnd"/>
    </w:p>
    <w:p w:rsidR="008B4C15" w:rsidRPr="001457B8" w:rsidRDefault="00420F21" w:rsidP="00420F21">
      <w:pPr>
        <w:ind w:left="360"/>
      </w:pPr>
      <w:r>
        <w:t>Black/</w:t>
      </w:r>
      <w:r w:rsidR="001457B8" w:rsidRPr="001457B8">
        <w:t>African Americans</w:t>
      </w:r>
      <w:r>
        <w:tab/>
      </w:r>
      <w:r>
        <w:tab/>
      </w:r>
      <w:r>
        <w:tab/>
      </w:r>
      <w:r>
        <w:tab/>
      </w:r>
      <w:r w:rsidR="001457B8" w:rsidRPr="001457B8">
        <w:t>Hispanic Americans</w:t>
      </w:r>
    </w:p>
    <w:p w:rsidR="008B4C15" w:rsidRPr="001457B8" w:rsidRDefault="00420F21" w:rsidP="00420F21">
      <w:pPr>
        <w:ind w:left="360"/>
      </w:pPr>
      <w:r>
        <w:t>American Indian/</w:t>
      </w:r>
      <w:r w:rsidR="001457B8" w:rsidRPr="001457B8">
        <w:t>Native Americans</w:t>
      </w:r>
      <w:r>
        <w:tab/>
      </w:r>
      <w:r>
        <w:tab/>
      </w:r>
      <w:r>
        <w:tab/>
      </w:r>
      <w:r w:rsidR="001457B8" w:rsidRPr="001457B8">
        <w:t>Asian Americans</w:t>
      </w:r>
    </w:p>
    <w:p w:rsidR="00DD228A" w:rsidRDefault="00420F21" w:rsidP="00420F21">
      <w:pPr>
        <w:ind w:left="360"/>
      </w:pPr>
      <w:r>
        <w:t>White/Caucasian</w:t>
      </w:r>
      <w:r>
        <w:tab/>
      </w:r>
      <w:r>
        <w:tab/>
      </w:r>
      <w:r>
        <w:tab/>
      </w:r>
      <w:r>
        <w:tab/>
      </w:r>
      <w:r>
        <w:tab/>
      </w:r>
      <w:r w:rsidR="00DD228A">
        <w:t>Pacific Islanders</w:t>
      </w:r>
    </w:p>
    <w:p w:rsidR="00DD228A" w:rsidRPr="001457B8" w:rsidRDefault="00DD228A" w:rsidP="00420F21">
      <w:pPr>
        <w:ind w:left="360"/>
      </w:pPr>
      <w:r>
        <w:t>Students of Two or more races</w:t>
      </w:r>
    </w:p>
    <w:p w:rsidR="00615536" w:rsidRPr="001457B8" w:rsidRDefault="00615536">
      <w:pPr>
        <w:rPr>
          <w:b/>
          <w:bCs/>
        </w:rPr>
      </w:pPr>
      <w:proofErr w:type="spellStart"/>
      <w:r w:rsidRPr="001457B8">
        <w:rPr>
          <w:b/>
          <w:bCs/>
        </w:rPr>
        <w:t>Disproportionality</w:t>
      </w:r>
      <w:proofErr w:type="spellEnd"/>
      <w:r w:rsidRPr="001457B8">
        <w:rPr>
          <w:b/>
          <w:bCs/>
        </w:rPr>
        <w:t xml:space="preserve"> is about…</w:t>
      </w:r>
    </w:p>
    <w:p w:rsidR="008B4C15" w:rsidRPr="001457B8" w:rsidRDefault="001457B8" w:rsidP="00615536">
      <w:pPr>
        <w:numPr>
          <w:ilvl w:val="0"/>
          <w:numId w:val="2"/>
        </w:numPr>
      </w:pPr>
      <w:r w:rsidRPr="001457B8">
        <w:t>Meeting students needs (or not) in general education settings</w:t>
      </w:r>
    </w:p>
    <w:p w:rsidR="008B4C15" w:rsidRPr="001457B8" w:rsidRDefault="001457B8" w:rsidP="00615536">
      <w:pPr>
        <w:numPr>
          <w:ilvl w:val="0"/>
          <w:numId w:val="2"/>
        </w:numPr>
      </w:pPr>
      <w:r w:rsidRPr="001457B8">
        <w:t>The identification of children as children with disabilities</w:t>
      </w:r>
    </w:p>
    <w:p w:rsidR="008B4C15" w:rsidRPr="001457B8" w:rsidRDefault="006F022B" w:rsidP="00615536">
      <w:pPr>
        <w:numPr>
          <w:ilvl w:val="0"/>
          <w:numId w:val="2"/>
        </w:numPr>
      </w:pPr>
      <w:r>
        <w:t>The placement of</w:t>
      </w:r>
      <w:r w:rsidR="001457B8" w:rsidRPr="001457B8">
        <w:t xml:space="preserve"> students in particular educational settings, e.g. LRE</w:t>
      </w:r>
    </w:p>
    <w:p w:rsidR="008B4C15" w:rsidRPr="001457B8" w:rsidRDefault="001457B8" w:rsidP="00615536">
      <w:pPr>
        <w:numPr>
          <w:ilvl w:val="0"/>
          <w:numId w:val="2"/>
        </w:numPr>
      </w:pPr>
      <w:r w:rsidRPr="001457B8">
        <w:t>The incidence, duration, and type of disciplinary actions, including suspensions and expulsions</w:t>
      </w:r>
    </w:p>
    <w:p w:rsidR="00615536" w:rsidRPr="001457B8" w:rsidRDefault="00615536">
      <w:pPr>
        <w:rPr>
          <w:b/>
          <w:bCs/>
        </w:rPr>
      </w:pPr>
      <w:r w:rsidRPr="001457B8">
        <w:rPr>
          <w:b/>
          <w:bCs/>
        </w:rPr>
        <w:t xml:space="preserve">When Might </w:t>
      </w:r>
      <w:proofErr w:type="spellStart"/>
      <w:r w:rsidRPr="001457B8">
        <w:rPr>
          <w:b/>
          <w:bCs/>
        </w:rPr>
        <w:t>Disproportionality</w:t>
      </w:r>
      <w:proofErr w:type="spellEnd"/>
      <w:r w:rsidRPr="001457B8">
        <w:rPr>
          <w:b/>
          <w:bCs/>
        </w:rPr>
        <w:t xml:space="preserve"> Exist?</w:t>
      </w:r>
    </w:p>
    <w:p w:rsidR="008B4C15" w:rsidRPr="001457B8" w:rsidRDefault="001457B8" w:rsidP="00615536">
      <w:pPr>
        <w:numPr>
          <w:ilvl w:val="0"/>
          <w:numId w:val="3"/>
        </w:numPr>
      </w:pPr>
      <w:r w:rsidRPr="001457B8">
        <w:t xml:space="preserve">When children are </w:t>
      </w:r>
      <w:r w:rsidRPr="001457B8">
        <w:rPr>
          <w:u w:val="single"/>
        </w:rPr>
        <w:t>unnecessarily placed</w:t>
      </w:r>
      <w:r w:rsidRPr="001457B8">
        <w:t xml:space="preserve"> into special education programs</w:t>
      </w:r>
    </w:p>
    <w:p w:rsidR="008B4C15" w:rsidRPr="001457B8" w:rsidRDefault="001457B8" w:rsidP="00615536">
      <w:pPr>
        <w:numPr>
          <w:ilvl w:val="0"/>
          <w:numId w:val="3"/>
        </w:numPr>
      </w:pPr>
      <w:r w:rsidRPr="001457B8">
        <w:t xml:space="preserve">When children are at risk for special education placement due to </w:t>
      </w:r>
      <w:r w:rsidRPr="001457B8">
        <w:rPr>
          <w:u w:val="single"/>
        </w:rPr>
        <w:t>inadequate instruction</w:t>
      </w:r>
      <w:r w:rsidRPr="001457B8">
        <w:t xml:space="preserve"> in general education classrooms</w:t>
      </w:r>
    </w:p>
    <w:p w:rsidR="008B4C15" w:rsidRPr="001457B8" w:rsidRDefault="001457B8" w:rsidP="00615536">
      <w:pPr>
        <w:numPr>
          <w:ilvl w:val="0"/>
          <w:numId w:val="3"/>
        </w:numPr>
      </w:pPr>
      <w:r w:rsidRPr="001457B8">
        <w:t xml:space="preserve">When the quality of special education programs </w:t>
      </w:r>
      <w:r w:rsidRPr="001457B8">
        <w:rPr>
          <w:u w:val="single"/>
        </w:rPr>
        <w:t>inhibits educational progress</w:t>
      </w:r>
      <w:r w:rsidRPr="001457B8">
        <w:t xml:space="preserve"> and decreases the likelihood of a return to the general education classroom</w:t>
      </w:r>
    </w:p>
    <w:p w:rsidR="0037581F" w:rsidRDefault="0037581F" w:rsidP="006F022B">
      <w:pPr>
        <w:autoSpaceDE w:val="0"/>
        <w:autoSpaceDN w:val="0"/>
        <w:adjustRightInd w:val="0"/>
        <w:spacing w:after="0" w:line="240" w:lineRule="auto"/>
        <w:rPr>
          <w:rFonts w:cs="Arial,Bold"/>
          <w:b/>
          <w:bCs/>
          <w:color w:val="000000"/>
          <w:u w:val="single"/>
        </w:rPr>
      </w:pPr>
    </w:p>
    <w:p w:rsidR="0037581F" w:rsidRDefault="0037581F" w:rsidP="006F022B">
      <w:pPr>
        <w:autoSpaceDE w:val="0"/>
        <w:autoSpaceDN w:val="0"/>
        <w:adjustRightInd w:val="0"/>
        <w:spacing w:after="0" w:line="240" w:lineRule="auto"/>
        <w:rPr>
          <w:rFonts w:cs="Arial,Bold"/>
          <w:b/>
          <w:bCs/>
          <w:color w:val="000000"/>
          <w:u w:val="single"/>
        </w:rPr>
      </w:pPr>
    </w:p>
    <w:p w:rsidR="006F022B" w:rsidRDefault="006F022B" w:rsidP="006F022B">
      <w:pPr>
        <w:autoSpaceDE w:val="0"/>
        <w:autoSpaceDN w:val="0"/>
        <w:adjustRightInd w:val="0"/>
        <w:spacing w:after="0" w:line="240" w:lineRule="auto"/>
        <w:rPr>
          <w:rFonts w:cs="Arial,Bold"/>
          <w:b/>
          <w:bCs/>
          <w:color w:val="000000"/>
          <w:u w:val="single"/>
        </w:rPr>
      </w:pPr>
      <w:r w:rsidRPr="001457B8">
        <w:rPr>
          <w:rFonts w:cs="Arial,Bold"/>
          <w:b/>
          <w:bCs/>
          <w:color w:val="000000"/>
          <w:u w:val="single"/>
        </w:rPr>
        <w:lastRenderedPageBreak/>
        <w:t xml:space="preserve">State Definitions of </w:t>
      </w:r>
      <w:proofErr w:type="spellStart"/>
      <w:r w:rsidRPr="001457B8">
        <w:rPr>
          <w:rFonts w:cs="Arial,Bold"/>
          <w:b/>
          <w:bCs/>
          <w:color w:val="000000"/>
          <w:u w:val="single"/>
        </w:rPr>
        <w:t>Disproportionality</w:t>
      </w:r>
      <w:proofErr w:type="spellEnd"/>
      <w:r w:rsidRPr="001457B8">
        <w:rPr>
          <w:rFonts w:cs="Arial,Bold"/>
          <w:b/>
          <w:bCs/>
          <w:color w:val="000000"/>
          <w:u w:val="single"/>
        </w:rPr>
        <w:t xml:space="preserve"> </w:t>
      </w:r>
    </w:p>
    <w:p w:rsidR="006F022B" w:rsidRPr="001457B8" w:rsidRDefault="006F022B" w:rsidP="006F022B">
      <w:pPr>
        <w:autoSpaceDE w:val="0"/>
        <w:autoSpaceDN w:val="0"/>
        <w:adjustRightInd w:val="0"/>
        <w:spacing w:after="0" w:line="240" w:lineRule="auto"/>
        <w:rPr>
          <w:rFonts w:cs="Arial,Bold"/>
          <w:b/>
          <w:bCs/>
          <w:color w:val="000000"/>
          <w:u w:val="single"/>
        </w:rPr>
      </w:pPr>
    </w:p>
    <w:p w:rsidR="006F022B" w:rsidRPr="001457B8" w:rsidRDefault="006F022B" w:rsidP="006F022B">
      <w:pPr>
        <w:autoSpaceDE w:val="0"/>
        <w:autoSpaceDN w:val="0"/>
        <w:adjustRightInd w:val="0"/>
        <w:spacing w:after="0" w:line="240" w:lineRule="auto"/>
        <w:rPr>
          <w:rFonts w:cs="Arial"/>
          <w:color w:val="000000"/>
        </w:rPr>
      </w:pPr>
      <w:r w:rsidRPr="001457B8">
        <w:rPr>
          <w:rFonts w:cs="Arial,Bold"/>
          <w:b/>
          <w:bCs/>
          <w:color w:val="000000"/>
        </w:rPr>
        <w:t xml:space="preserve">Disproportionate Representation </w:t>
      </w:r>
      <w:r w:rsidRPr="001457B8">
        <w:rPr>
          <w:rFonts w:cs="Arial"/>
          <w:color w:val="000000"/>
        </w:rPr>
        <w:t xml:space="preserve">is defined as a risk ratio of 2.5 or higher </w:t>
      </w:r>
      <w:r w:rsidRPr="00AB47A0">
        <w:rPr>
          <w:rFonts w:cs="Arial"/>
        </w:rPr>
        <w:t>or less than 0.40</w:t>
      </w:r>
      <w:r w:rsidRPr="001457B8">
        <w:rPr>
          <w:rFonts w:cs="Arial"/>
          <w:color w:val="3366FF"/>
        </w:rPr>
        <w:t xml:space="preserve"> </w:t>
      </w:r>
      <w:r w:rsidRPr="001457B8">
        <w:rPr>
          <w:rFonts w:cs="Arial"/>
          <w:color w:val="000000"/>
        </w:rPr>
        <w:t>for two</w:t>
      </w:r>
      <w:r w:rsidR="0037581F">
        <w:rPr>
          <w:rFonts w:cs="Arial"/>
          <w:color w:val="000000"/>
        </w:rPr>
        <w:t xml:space="preserve"> </w:t>
      </w:r>
      <w:r w:rsidRPr="001457B8">
        <w:rPr>
          <w:rFonts w:cs="Arial"/>
          <w:color w:val="000000"/>
        </w:rPr>
        <w:t>consecutive years with a minimum n size of 10 students plus evidence of policies, procedures,</w:t>
      </w:r>
      <w:r>
        <w:rPr>
          <w:rFonts w:cs="Arial"/>
          <w:color w:val="000000"/>
        </w:rPr>
        <w:t xml:space="preserve"> </w:t>
      </w:r>
      <w:r w:rsidRPr="001457B8">
        <w:rPr>
          <w:rFonts w:cs="Arial"/>
          <w:color w:val="000000"/>
        </w:rPr>
        <w:t>and/or practices which result in inappropriate identification. Evidence was collected from multiple</w:t>
      </w:r>
      <w:r>
        <w:rPr>
          <w:rFonts w:cs="Arial"/>
          <w:color w:val="000000"/>
        </w:rPr>
        <w:t xml:space="preserve"> </w:t>
      </w:r>
      <w:r w:rsidRPr="001457B8">
        <w:rPr>
          <w:rFonts w:cs="Arial"/>
          <w:color w:val="000000"/>
        </w:rPr>
        <w:t xml:space="preserve">sources: record reviews, onsite visits, district submissions in the consolidated resource plan, </w:t>
      </w:r>
      <w:proofErr w:type="gramStart"/>
      <w:r w:rsidRPr="001457B8">
        <w:rPr>
          <w:rFonts w:cs="Arial"/>
          <w:color w:val="000000"/>
        </w:rPr>
        <w:t>records</w:t>
      </w:r>
      <w:proofErr w:type="gramEnd"/>
      <w:r>
        <w:rPr>
          <w:rFonts w:cs="Arial"/>
          <w:color w:val="000000"/>
        </w:rPr>
        <w:t xml:space="preserve"> </w:t>
      </w:r>
      <w:r w:rsidRPr="001457B8">
        <w:rPr>
          <w:rFonts w:cs="Arial"/>
          <w:color w:val="000000"/>
        </w:rPr>
        <w:t>of complaints, mediations, and hearings.</w:t>
      </w:r>
    </w:p>
    <w:p w:rsidR="006F022B" w:rsidRPr="001457B8" w:rsidRDefault="006F022B" w:rsidP="006F022B">
      <w:pPr>
        <w:autoSpaceDE w:val="0"/>
        <w:autoSpaceDN w:val="0"/>
        <w:adjustRightInd w:val="0"/>
        <w:spacing w:after="0" w:line="240" w:lineRule="auto"/>
        <w:rPr>
          <w:rFonts w:cs="Arial,Bold"/>
          <w:b/>
          <w:bCs/>
          <w:color w:val="000000"/>
        </w:rPr>
      </w:pPr>
    </w:p>
    <w:p w:rsidR="006F022B" w:rsidRPr="001457B8" w:rsidRDefault="006F022B" w:rsidP="006F022B">
      <w:pPr>
        <w:autoSpaceDE w:val="0"/>
        <w:autoSpaceDN w:val="0"/>
        <w:adjustRightInd w:val="0"/>
        <w:spacing w:after="0" w:line="240" w:lineRule="auto"/>
        <w:rPr>
          <w:rFonts w:cs="Arial"/>
          <w:color w:val="000000"/>
        </w:rPr>
      </w:pPr>
      <w:r w:rsidRPr="001457B8">
        <w:rPr>
          <w:rFonts w:cs="Arial,Bold"/>
          <w:b/>
          <w:bCs/>
          <w:color w:val="000000"/>
        </w:rPr>
        <w:t xml:space="preserve">Significant </w:t>
      </w:r>
      <w:proofErr w:type="spellStart"/>
      <w:r w:rsidRPr="001457B8">
        <w:rPr>
          <w:rFonts w:cs="Arial,Bold"/>
          <w:b/>
          <w:bCs/>
          <w:color w:val="000000"/>
        </w:rPr>
        <w:t>Disproportionality</w:t>
      </w:r>
      <w:proofErr w:type="spellEnd"/>
      <w:r w:rsidRPr="001457B8">
        <w:rPr>
          <w:rFonts w:cs="Arial,Bold"/>
          <w:b/>
          <w:bCs/>
          <w:color w:val="000000"/>
        </w:rPr>
        <w:t xml:space="preserve"> </w:t>
      </w:r>
      <w:r>
        <w:rPr>
          <w:rFonts w:cs="Arial,Bold"/>
          <w:b/>
          <w:bCs/>
          <w:color w:val="000000"/>
        </w:rPr>
        <w:t xml:space="preserve">in Disabilities </w:t>
      </w:r>
    </w:p>
    <w:p w:rsidR="006F022B" w:rsidRPr="00B8259C" w:rsidRDefault="006F022B" w:rsidP="006F022B">
      <w:pPr>
        <w:pStyle w:val="ListParagraph"/>
        <w:numPr>
          <w:ilvl w:val="0"/>
          <w:numId w:val="8"/>
        </w:numPr>
        <w:autoSpaceDE w:val="0"/>
        <w:autoSpaceDN w:val="0"/>
        <w:adjustRightInd w:val="0"/>
        <w:spacing w:after="0" w:line="240" w:lineRule="auto"/>
        <w:rPr>
          <w:rFonts w:cs="Arial"/>
          <w:color w:val="000000"/>
        </w:rPr>
      </w:pPr>
      <w:r w:rsidRPr="00B8259C">
        <w:rPr>
          <w:rFonts w:cs="Arial"/>
          <w:color w:val="000000"/>
        </w:rPr>
        <w:t>Risk levels for a racial group that are 1% or higher than the national risk for all students;</w:t>
      </w:r>
    </w:p>
    <w:p w:rsidR="006F022B" w:rsidRPr="00B8259C" w:rsidRDefault="006F022B" w:rsidP="006F022B">
      <w:pPr>
        <w:pStyle w:val="ListParagraph"/>
        <w:numPr>
          <w:ilvl w:val="0"/>
          <w:numId w:val="8"/>
        </w:numPr>
        <w:autoSpaceDE w:val="0"/>
        <w:autoSpaceDN w:val="0"/>
        <w:adjustRightInd w:val="0"/>
        <w:spacing w:after="0" w:line="240" w:lineRule="auto"/>
        <w:rPr>
          <w:rFonts w:cs="Arial"/>
          <w:color w:val="000000"/>
        </w:rPr>
      </w:pPr>
      <w:r w:rsidRPr="00B8259C">
        <w:rPr>
          <w:rFonts w:cs="Arial"/>
          <w:color w:val="000000"/>
        </w:rPr>
        <w:t>A risk ratio that shows that the risk for the group in your district is at least 2.5 times the combined risk for all students in the nation;</w:t>
      </w:r>
    </w:p>
    <w:p w:rsidR="006F022B" w:rsidRPr="00B8259C" w:rsidRDefault="006F022B" w:rsidP="006F022B">
      <w:pPr>
        <w:pStyle w:val="ListParagraph"/>
        <w:numPr>
          <w:ilvl w:val="0"/>
          <w:numId w:val="8"/>
        </w:numPr>
        <w:autoSpaceDE w:val="0"/>
        <w:autoSpaceDN w:val="0"/>
        <w:adjustRightInd w:val="0"/>
        <w:spacing w:after="0" w:line="240" w:lineRule="auto"/>
        <w:rPr>
          <w:rFonts w:cs="Arial"/>
          <w:color w:val="000000"/>
        </w:rPr>
      </w:pPr>
      <w:r w:rsidRPr="00B8259C">
        <w:rPr>
          <w:rFonts w:cs="Arial"/>
          <w:color w:val="000000"/>
        </w:rPr>
        <w:t>There must be at least 10 students in the category in question;</w:t>
      </w:r>
    </w:p>
    <w:p w:rsidR="006F022B" w:rsidRPr="00B8259C" w:rsidRDefault="006F022B" w:rsidP="006F022B">
      <w:pPr>
        <w:pStyle w:val="ListParagraph"/>
        <w:numPr>
          <w:ilvl w:val="0"/>
          <w:numId w:val="8"/>
        </w:numPr>
        <w:autoSpaceDE w:val="0"/>
        <w:autoSpaceDN w:val="0"/>
        <w:adjustRightInd w:val="0"/>
        <w:spacing w:after="0" w:line="240" w:lineRule="auto"/>
        <w:rPr>
          <w:rFonts w:cs="Arial"/>
          <w:color w:val="000000"/>
        </w:rPr>
      </w:pPr>
      <w:r>
        <w:rPr>
          <w:rFonts w:cs="Arial"/>
          <w:color w:val="000000"/>
        </w:rPr>
        <w:t>ALL</w:t>
      </w:r>
      <w:r w:rsidRPr="00B8259C">
        <w:rPr>
          <w:rFonts w:cs="Arial"/>
          <w:color w:val="000000"/>
        </w:rPr>
        <w:t xml:space="preserve"> specific criteria </w:t>
      </w:r>
      <w:r>
        <w:rPr>
          <w:rFonts w:cs="Arial"/>
          <w:color w:val="000000"/>
        </w:rPr>
        <w:t xml:space="preserve">above </w:t>
      </w:r>
      <w:r w:rsidRPr="00B8259C">
        <w:rPr>
          <w:rFonts w:cs="Arial"/>
          <w:color w:val="000000"/>
        </w:rPr>
        <w:t>must be met for two consecutive years;</w:t>
      </w:r>
    </w:p>
    <w:p w:rsidR="006F022B" w:rsidRDefault="006F022B" w:rsidP="006F022B">
      <w:pPr>
        <w:pStyle w:val="ListParagraph"/>
        <w:numPr>
          <w:ilvl w:val="0"/>
          <w:numId w:val="8"/>
        </w:numPr>
        <w:autoSpaceDE w:val="0"/>
        <w:autoSpaceDN w:val="0"/>
        <w:adjustRightInd w:val="0"/>
        <w:spacing w:after="0" w:line="240" w:lineRule="auto"/>
        <w:rPr>
          <w:rFonts w:cs="Arial"/>
          <w:color w:val="000000"/>
        </w:rPr>
      </w:pPr>
      <w:r w:rsidRPr="00B8259C">
        <w:rPr>
          <w:rFonts w:cs="Arial"/>
          <w:color w:val="000000"/>
        </w:rPr>
        <w:t xml:space="preserve">Allowable exception: students placed by DCYF in group homes located in the district – please email to </w:t>
      </w:r>
      <w:hyperlink r:id="rId5" w:history="1">
        <w:r w:rsidRPr="00B8259C">
          <w:rPr>
            <w:rStyle w:val="Hyperlink"/>
            <w:rFonts w:cs="Arial"/>
          </w:rPr>
          <w:t>Emily.Klein@ride.ri.gov</w:t>
        </w:r>
      </w:hyperlink>
      <w:r w:rsidRPr="00B8259C">
        <w:rPr>
          <w:rFonts w:cs="Arial"/>
          <w:color w:val="000000"/>
        </w:rPr>
        <w:t xml:space="preserve"> if the LEA has allowable exceptions to </w:t>
      </w:r>
      <w:r w:rsidR="006D7BD5" w:rsidRPr="00B8259C">
        <w:rPr>
          <w:rFonts w:cs="Arial"/>
          <w:color w:val="000000"/>
        </w:rPr>
        <w:t>recalculate</w:t>
      </w:r>
      <w:r w:rsidRPr="00B8259C">
        <w:rPr>
          <w:rFonts w:cs="Arial"/>
          <w:color w:val="000000"/>
        </w:rPr>
        <w:t>.</w:t>
      </w:r>
    </w:p>
    <w:p w:rsidR="006F022B" w:rsidRPr="00B8259C" w:rsidRDefault="006F022B" w:rsidP="006F022B">
      <w:pPr>
        <w:pStyle w:val="ListParagraph"/>
        <w:numPr>
          <w:ilvl w:val="0"/>
          <w:numId w:val="8"/>
        </w:numPr>
        <w:autoSpaceDE w:val="0"/>
        <w:autoSpaceDN w:val="0"/>
        <w:adjustRightInd w:val="0"/>
        <w:spacing w:after="0" w:line="240" w:lineRule="auto"/>
        <w:rPr>
          <w:rFonts w:cs="Arial"/>
          <w:color w:val="000000"/>
        </w:rPr>
      </w:pPr>
      <w:r>
        <w:rPr>
          <w:rFonts w:cs="Arial"/>
          <w:color w:val="000000"/>
        </w:rPr>
        <w:t>Not equivalent to Indicators 9 and 10 which also consider policies, procedures, practices, monitoring findings, etc.</w:t>
      </w:r>
    </w:p>
    <w:p w:rsidR="006F022B" w:rsidRDefault="006F022B" w:rsidP="006F022B">
      <w:pPr>
        <w:autoSpaceDE w:val="0"/>
        <w:autoSpaceDN w:val="0"/>
        <w:adjustRightInd w:val="0"/>
        <w:spacing w:after="0" w:line="240" w:lineRule="auto"/>
        <w:rPr>
          <w:rFonts w:cs="Arial"/>
          <w:color w:val="000000"/>
        </w:rPr>
      </w:pPr>
    </w:p>
    <w:tbl>
      <w:tblPr>
        <w:tblW w:w="10365" w:type="dxa"/>
        <w:tblInd w:w="93" w:type="dxa"/>
        <w:tblLook w:val="04A0"/>
      </w:tblPr>
      <w:tblGrid>
        <w:gridCol w:w="8322"/>
        <w:gridCol w:w="2043"/>
      </w:tblGrid>
      <w:tr w:rsidR="006F022B" w:rsidRPr="005F7D3E" w:rsidTr="0037581F">
        <w:trPr>
          <w:gridAfter w:val="1"/>
          <w:wAfter w:w="2043" w:type="dxa"/>
          <w:trHeight w:val="300"/>
        </w:trPr>
        <w:tc>
          <w:tcPr>
            <w:tcW w:w="8322" w:type="dxa"/>
            <w:tcBorders>
              <w:top w:val="nil"/>
              <w:left w:val="nil"/>
              <w:bottom w:val="nil"/>
              <w:right w:val="nil"/>
            </w:tcBorders>
            <w:shd w:val="clear" w:color="auto" w:fill="auto"/>
            <w:noWrap/>
            <w:vAlign w:val="bottom"/>
            <w:hideMark/>
          </w:tcPr>
          <w:p w:rsidR="006F022B" w:rsidRPr="005F7D3E" w:rsidRDefault="006F022B" w:rsidP="00090ADD">
            <w:pPr>
              <w:spacing w:after="0" w:line="240" w:lineRule="auto"/>
              <w:rPr>
                <w:rFonts w:ascii="Calibri" w:eastAsia="Times New Roman" w:hAnsi="Calibri" w:cs="Times New Roman"/>
                <w:color w:val="000000"/>
              </w:rPr>
            </w:pPr>
            <w:r w:rsidRPr="001457B8">
              <w:rPr>
                <w:rFonts w:cs="Arial,Bold"/>
                <w:b/>
                <w:bCs/>
                <w:color w:val="000000"/>
              </w:rPr>
              <w:t xml:space="preserve">Significant </w:t>
            </w:r>
            <w:proofErr w:type="spellStart"/>
            <w:r w:rsidRPr="001457B8">
              <w:rPr>
                <w:rFonts w:cs="Arial,Bold"/>
                <w:b/>
                <w:bCs/>
                <w:color w:val="000000"/>
              </w:rPr>
              <w:t>Disproportionality</w:t>
            </w:r>
            <w:proofErr w:type="spellEnd"/>
            <w:r w:rsidRPr="001457B8">
              <w:rPr>
                <w:rFonts w:cs="Arial,Bold"/>
                <w:b/>
                <w:bCs/>
                <w:color w:val="000000"/>
              </w:rPr>
              <w:t xml:space="preserve"> </w:t>
            </w:r>
            <w:r>
              <w:rPr>
                <w:rFonts w:cs="Arial,Bold"/>
                <w:b/>
                <w:bCs/>
                <w:color w:val="000000"/>
              </w:rPr>
              <w:t>in P</w:t>
            </w:r>
            <w:r>
              <w:rPr>
                <w:rFonts w:ascii="Calibri" w:eastAsia="Times New Roman" w:hAnsi="Calibri" w:cs="Times New Roman"/>
                <w:color w:val="000000"/>
              </w:rPr>
              <w:t>l</w:t>
            </w:r>
            <w:r w:rsidRPr="005F7D3E">
              <w:rPr>
                <w:rFonts w:ascii="Calibri" w:eastAsia="Times New Roman" w:hAnsi="Calibri" w:cs="Times New Roman"/>
                <w:b/>
                <w:color w:val="000000"/>
              </w:rPr>
              <w:t>acement</w:t>
            </w:r>
            <w:r>
              <w:rPr>
                <w:rFonts w:ascii="Calibri" w:eastAsia="Times New Roman" w:hAnsi="Calibri" w:cs="Times New Roman"/>
                <w:b/>
                <w:color w:val="000000"/>
              </w:rPr>
              <w:t xml:space="preserve"> </w:t>
            </w:r>
          </w:p>
        </w:tc>
      </w:tr>
      <w:tr w:rsidR="006F022B" w:rsidRPr="005F7D3E" w:rsidTr="0037581F">
        <w:trPr>
          <w:trHeight w:val="300"/>
        </w:trPr>
        <w:tc>
          <w:tcPr>
            <w:tcW w:w="10365" w:type="dxa"/>
            <w:gridSpan w:val="2"/>
            <w:tcBorders>
              <w:top w:val="nil"/>
              <w:left w:val="nil"/>
              <w:bottom w:val="nil"/>
              <w:right w:val="nil"/>
            </w:tcBorders>
            <w:shd w:val="clear" w:color="auto" w:fill="auto"/>
            <w:noWrap/>
            <w:vAlign w:val="bottom"/>
            <w:hideMark/>
          </w:tcPr>
          <w:p w:rsidR="006F022B" w:rsidRPr="00577A6F" w:rsidRDefault="006F022B" w:rsidP="0037581F">
            <w:pPr>
              <w:pStyle w:val="ListParagraph"/>
              <w:numPr>
                <w:ilvl w:val="0"/>
                <w:numId w:val="5"/>
              </w:numPr>
              <w:spacing w:after="0" w:line="240" w:lineRule="auto"/>
              <w:ind w:right="-108"/>
              <w:rPr>
                <w:rFonts w:ascii="Symbol" w:eastAsia="Times New Roman" w:hAnsi="Symbol" w:cs="Times New Roman"/>
                <w:color w:val="000000"/>
              </w:rPr>
            </w:pPr>
            <w:r>
              <w:t xml:space="preserve">An Alternate risk ratio or Alternate TRPC ratio of </w:t>
            </w:r>
            <w:r w:rsidR="0037581F">
              <w:t>2.5 or more. The alternate risk r</w:t>
            </w:r>
            <w:r>
              <w:t xml:space="preserve">atio uses the </w:t>
            </w:r>
            <w:r>
              <w:rPr>
                <w:i/>
                <w:iCs/>
              </w:rPr>
              <w:t xml:space="preserve">district-level </w:t>
            </w:r>
            <w:r>
              <w:t xml:space="preserve">risk for the racial/ethnic group in the numerator and the </w:t>
            </w:r>
            <w:r>
              <w:rPr>
                <w:i/>
                <w:iCs/>
              </w:rPr>
              <w:t xml:space="preserve">state-level </w:t>
            </w:r>
            <w:r>
              <w:t>risk for the comparison group in the denominator.</w:t>
            </w:r>
          </w:p>
        </w:tc>
      </w:tr>
      <w:tr w:rsidR="006F022B" w:rsidRPr="005F7D3E" w:rsidTr="0037581F">
        <w:trPr>
          <w:trHeight w:val="300"/>
        </w:trPr>
        <w:tc>
          <w:tcPr>
            <w:tcW w:w="10365" w:type="dxa"/>
            <w:gridSpan w:val="2"/>
            <w:tcBorders>
              <w:top w:val="nil"/>
              <w:left w:val="nil"/>
              <w:bottom w:val="nil"/>
              <w:right w:val="nil"/>
            </w:tcBorders>
            <w:shd w:val="clear" w:color="auto" w:fill="auto"/>
            <w:noWrap/>
            <w:vAlign w:val="bottom"/>
            <w:hideMark/>
          </w:tcPr>
          <w:p w:rsidR="006F022B" w:rsidRPr="00577A6F" w:rsidRDefault="006F022B" w:rsidP="0069773B">
            <w:pPr>
              <w:pStyle w:val="ListParagraph"/>
              <w:numPr>
                <w:ilvl w:val="0"/>
                <w:numId w:val="5"/>
              </w:numPr>
              <w:spacing w:after="0" w:line="240" w:lineRule="auto"/>
              <w:ind w:right="-108"/>
              <w:rPr>
                <w:rFonts w:ascii="Symbol" w:eastAsia="Times New Roman" w:hAnsi="Symbol" w:cs="Times New Roman"/>
                <w:color w:val="000000"/>
              </w:rPr>
            </w:pPr>
            <w:r>
              <w:rPr>
                <w:rFonts w:ascii="Calibri" w:eastAsia="Times New Roman" w:hAnsi="Calibri" w:cs="Times New Roman"/>
                <w:color w:val="000000"/>
              </w:rPr>
              <w:t xml:space="preserve">E-formula threshold of </w:t>
            </w:r>
            <w:r w:rsidR="0069773B">
              <w:rPr>
                <w:rFonts w:ascii="Calibri" w:eastAsia="Times New Roman" w:hAnsi="Calibri" w:cs="Times New Roman"/>
                <w:color w:val="000000"/>
              </w:rPr>
              <w:t>3</w:t>
            </w:r>
            <w:r>
              <w:rPr>
                <w:rFonts w:ascii="Calibri" w:eastAsia="Times New Roman" w:hAnsi="Calibri" w:cs="Times New Roman"/>
                <w:color w:val="000000"/>
              </w:rPr>
              <w:t xml:space="preserve"> standard errors </w:t>
            </w:r>
            <w:r w:rsidRPr="00B8259C">
              <w:rPr>
                <w:rFonts w:ascii="Calibri" w:eastAsia="Times New Roman" w:hAnsi="Calibri" w:cs="Times New Roman"/>
                <w:i/>
                <w:color w:val="000000"/>
              </w:rPr>
              <w:t>in addition to</w:t>
            </w:r>
            <w:r>
              <w:rPr>
                <w:rFonts w:ascii="Calibri" w:eastAsia="Times New Roman" w:hAnsi="Calibri" w:cs="Times New Roman"/>
                <w:color w:val="000000"/>
              </w:rPr>
              <w:t xml:space="preserve"> alternate risk ratio of 2.5 or more</w:t>
            </w:r>
          </w:p>
        </w:tc>
      </w:tr>
      <w:tr w:rsidR="006F022B" w:rsidRPr="005F7D3E" w:rsidTr="0037581F">
        <w:trPr>
          <w:trHeight w:val="300"/>
        </w:trPr>
        <w:tc>
          <w:tcPr>
            <w:tcW w:w="10365" w:type="dxa"/>
            <w:gridSpan w:val="2"/>
            <w:tcBorders>
              <w:top w:val="nil"/>
              <w:left w:val="nil"/>
              <w:bottom w:val="nil"/>
              <w:right w:val="nil"/>
            </w:tcBorders>
            <w:shd w:val="clear" w:color="auto" w:fill="auto"/>
            <w:noWrap/>
            <w:vAlign w:val="bottom"/>
            <w:hideMark/>
          </w:tcPr>
          <w:p w:rsidR="006F022B" w:rsidRPr="00577A6F" w:rsidRDefault="006F022B" w:rsidP="0037581F">
            <w:pPr>
              <w:pStyle w:val="ListParagraph"/>
              <w:numPr>
                <w:ilvl w:val="0"/>
                <w:numId w:val="5"/>
              </w:numPr>
              <w:spacing w:after="0" w:line="240" w:lineRule="auto"/>
              <w:ind w:right="-108"/>
              <w:rPr>
                <w:rFonts w:cs="Arial"/>
                <w:color w:val="000000"/>
              </w:rPr>
            </w:pPr>
            <w:r w:rsidRPr="00577A6F">
              <w:rPr>
                <w:rFonts w:cs="Arial"/>
                <w:color w:val="000000"/>
              </w:rPr>
              <w:t>Separate Placements includes only private residential facilities and separate schools.</w:t>
            </w:r>
          </w:p>
          <w:p w:rsidR="0069773B" w:rsidRDefault="0069773B" w:rsidP="0037581F">
            <w:pPr>
              <w:pStyle w:val="ListParagraph"/>
              <w:numPr>
                <w:ilvl w:val="0"/>
                <w:numId w:val="5"/>
              </w:numPr>
              <w:spacing w:after="0" w:line="240" w:lineRule="auto"/>
              <w:ind w:right="-108"/>
              <w:rPr>
                <w:rFonts w:eastAsia="Times New Roman" w:cs="Times New Roman"/>
                <w:color w:val="000000"/>
              </w:rPr>
            </w:pPr>
            <w:r w:rsidRPr="00B8259C">
              <w:rPr>
                <w:rFonts w:cs="Arial"/>
                <w:color w:val="000000"/>
              </w:rPr>
              <w:t>There must be at least 10 students in the category in question</w:t>
            </w:r>
            <w:r>
              <w:rPr>
                <w:rFonts w:eastAsia="Times New Roman" w:cs="Times New Roman"/>
                <w:color w:val="000000"/>
              </w:rPr>
              <w:t xml:space="preserve"> </w:t>
            </w:r>
          </w:p>
          <w:p w:rsidR="006F022B" w:rsidRPr="000C0703" w:rsidRDefault="006F022B" w:rsidP="0037581F">
            <w:pPr>
              <w:pStyle w:val="ListParagraph"/>
              <w:numPr>
                <w:ilvl w:val="0"/>
                <w:numId w:val="5"/>
              </w:numPr>
              <w:spacing w:after="0" w:line="240" w:lineRule="auto"/>
              <w:ind w:right="-108"/>
              <w:rPr>
                <w:rFonts w:eastAsia="Times New Roman" w:cs="Times New Roman"/>
                <w:color w:val="000000"/>
              </w:rPr>
            </w:pPr>
            <w:r>
              <w:rPr>
                <w:rFonts w:eastAsia="Times New Roman" w:cs="Times New Roman"/>
                <w:color w:val="000000"/>
              </w:rPr>
              <w:t>This calculation is not equivalent to Indicator 5 as the indicator does not look at disaggregated race data.</w:t>
            </w:r>
          </w:p>
        </w:tc>
      </w:tr>
    </w:tbl>
    <w:p w:rsidR="006F022B" w:rsidRPr="001457B8" w:rsidRDefault="006F022B" w:rsidP="006F022B">
      <w:pPr>
        <w:autoSpaceDE w:val="0"/>
        <w:autoSpaceDN w:val="0"/>
        <w:adjustRightInd w:val="0"/>
        <w:spacing w:after="0" w:line="240" w:lineRule="auto"/>
        <w:rPr>
          <w:rFonts w:cs="Arial"/>
          <w:color w:val="000000"/>
        </w:rPr>
      </w:pPr>
    </w:p>
    <w:p w:rsidR="006F022B" w:rsidRDefault="006F022B" w:rsidP="006F022B">
      <w:pPr>
        <w:rPr>
          <w:rFonts w:cs="Arial,Bold"/>
          <w:b/>
          <w:bCs/>
          <w:color w:val="000000"/>
        </w:rPr>
      </w:pPr>
      <w:r w:rsidRPr="001457B8">
        <w:rPr>
          <w:rFonts w:cs="Arial,Bold"/>
          <w:b/>
          <w:bCs/>
          <w:color w:val="000000"/>
        </w:rPr>
        <w:t xml:space="preserve">Significant </w:t>
      </w:r>
      <w:proofErr w:type="spellStart"/>
      <w:r w:rsidRPr="001457B8">
        <w:rPr>
          <w:rFonts w:cs="Arial,Bold"/>
          <w:b/>
          <w:bCs/>
          <w:color w:val="000000"/>
        </w:rPr>
        <w:t>Disproportionality</w:t>
      </w:r>
      <w:proofErr w:type="spellEnd"/>
      <w:r w:rsidRPr="001457B8">
        <w:rPr>
          <w:rFonts w:cs="Arial,Bold"/>
          <w:b/>
          <w:bCs/>
          <w:color w:val="000000"/>
        </w:rPr>
        <w:t xml:space="preserve"> </w:t>
      </w:r>
      <w:r>
        <w:rPr>
          <w:rFonts w:cs="Arial,Bold"/>
          <w:b/>
          <w:bCs/>
          <w:color w:val="000000"/>
        </w:rPr>
        <w:t>in Suspensions (both in school and out of school any duration and total removals)</w:t>
      </w:r>
    </w:p>
    <w:p w:rsidR="006F022B" w:rsidRPr="00B8259C" w:rsidRDefault="006F022B" w:rsidP="006F022B">
      <w:pPr>
        <w:pStyle w:val="ListParagraph"/>
        <w:numPr>
          <w:ilvl w:val="0"/>
          <w:numId w:val="7"/>
        </w:numPr>
        <w:rPr>
          <w:rFonts w:cs="Arial"/>
          <w:color w:val="000000"/>
        </w:rPr>
      </w:pPr>
      <w:r w:rsidRPr="00B8259C">
        <w:rPr>
          <w:rFonts w:cs="Arial"/>
          <w:color w:val="000000"/>
        </w:rPr>
        <w:t>A</w:t>
      </w:r>
      <w:r>
        <w:rPr>
          <w:rFonts w:cs="Arial"/>
          <w:color w:val="000000"/>
        </w:rPr>
        <w:t xml:space="preserve">n </w:t>
      </w:r>
      <w:r w:rsidRPr="0069773B">
        <w:rPr>
          <w:rFonts w:cs="Arial"/>
          <w:color w:val="000000"/>
        </w:rPr>
        <w:t>risk ratio</w:t>
      </w:r>
      <w:r w:rsidRPr="00B8259C">
        <w:rPr>
          <w:rFonts w:cs="Arial"/>
          <w:color w:val="000000"/>
        </w:rPr>
        <w:t xml:space="preserve"> that shows that the suspension risk for students with disabilities of a particular race/ethnicity  is at least 2.5 times the risk for students without disabilities of that race/ethnicity enrolled in the district;</w:t>
      </w:r>
    </w:p>
    <w:p w:rsidR="006F022B" w:rsidRPr="00B8259C" w:rsidRDefault="006F022B" w:rsidP="006F022B">
      <w:pPr>
        <w:pStyle w:val="ListParagraph"/>
        <w:numPr>
          <w:ilvl w:val="0"/>
          <w:numId w:val="7"/>
        </w:numPr>
        <w:rPr>
          <w:rFonts w:cs="Arial"/>
          <w:color w:val="000000"/>
        </w:rPr>
      </w:pPr>
      <w:r w:rsidRPr="00B8259C">
        <w:rPr>
          <w:rFonts w:ascii="Calibri" w:eastAsia="Times New Roman" w:hAnsi="Calibri" w:cs="Times New Roman"/>
          <w:color w:val="000000"/>
        </w:rPr>
        <w:t xml:space="preserve">E-formula threshold of </w:t>
      </w:r>
      <w:r w:rsidR="0069773B" w:rsidRPr="0069773B">
        <w:rPr>
          <w:rFonts w:ascii="Calibri" w:eastAsia="Times New Roman" w:hAnsi="Calibri" w:cs="Times New Roman"/>
          <w:color w:val="000000"/>
        </w:rPr>
        <w:t>3</w:t>
      </w:r>
      <w:r w:rsidRPr="0069773B">
        <w:rPr>
          <w:rFonts w:ascii="Calibri" w:eastAsia="Times New Roman" w:hAnsi="Calibri" w:cs="Times New Roman"/>
          <w:color w:val="000000"/>
        </w:rPr>
        <w:t xml:space="preserve"> standard errors</w:t>
      </w:r>
      <w:r w:rsidRPr="00B8259C">
        <w:rPr>
          <w:rFonts w:ascii="Calibri" w:eastAsia="Times New Roman" w:hAnsi="Calibri" w:cs="Times New Roman"/>
          <w:color w:val="000000"/>
        </w:rPr>
        <w:t xml:space="preserve"> </w:t>
      </w:r>
      <w:r w:rsidRPr="00B8259C">
        <w:rPr>
          <w:rFonts w:ascii="Calibri" w:eastAsia="Times New Roman" w:hAnsi="Calibri" w:cs="Times New Roman"/>
          <w:i/>
          <w:color w:val="000000"/>
        </w:rPr>
        <w:t>in addition to</w:t>
      </w:r>
      <w:r w:rsidRPr="00B8259C">
        <w:rPr>
          <w:rFonts w:ascii="Calibri" w:eastAsia="Times New Roman" w:hAnsi="Calibri" w:cs="Times New Roman"/>
          <w:color w:val="000000"/>
        </w:rPr>
        <w:t xml:space="preserve"> a risk ratio of 2.5 or more</w:t>
      </w:r>
    </w:p>
    <w:p w:rsidR="0069773B" w:rsidRDefault="0069773B" w:rsidP="006F022B">
      <w:pPr>
        <w:pStyle w:val="ListParagraph"/>
        <w:numPr>
          <w:ilvl w:val="0"/>
          <w:numId w:val="7"/>
        </w:numPr>
        <w:rPr>
          <w:rFonts w:cs="Arial"/>
          <w:color w:val="000000"/>
        </w:rPr>
      </w:pPr>
      <w:r w:rsidRPr="00B8259C">
        <w:rPr>
          <w:rFonts w:cs="Arial"/>
          <w:color w:val="000000"/>
        </w:rPr>
        <w:t>There must be at least 10 students in the category in question</w:t>
      </w:r>
      <w:r>
        <w:rPr>
          <w:rFonts w:cs="Arial"/>
          <w:color w:val="000000"/>
        </w:rPr>
        <w:t xml:space="preserve"> </w:t>
      </w:r>
    </w:p>
    <w:p w:rsidR="006F022B" w:rsidRPr="00B8259C" w:rsidRDefault="006F022B" w:rsidP="006F022B">
      <w:pPr>
        <w:pStyle w:val="ListParagraph"/>
        <w:numPr>
          <w:ilvl w:val="0"/>
          <w:numId w:val="7"/>
        </w:numPr>
        <w:rPr>
          <w:rFonts w:cs="Arial"/>
          <w:color w:val="000000"/>
        </w:rPr>
      </w:pPr>
      <w:r>
        <w:rPr>
          <w:rFonts w:cs="Arial"/>
          <w:color w:val="000000"/>
        </w:rPr>
        <w:t>This calculation is not equivalent to Indicator 4 as more areas of suspension are examined than in the indicator.</w:t>
      </w:r>
      <w:r w:rsidRPr="00B8259C">
        <w:rPr>
          <w:rFonts w:cs="Arial"/>
          <w:color w:val="000000"/>
        </w:rPr>
        <w:br/>
      </w:r>
    </w:p>
    <w:p w:rsidR="006F022B" w:rsidRPr="006F022B" w:rsidRDefault="006F022B" w:rsidP="006F022B">
      <w:pPr>
        <w:rPr>
          <w:b/>
          <w:bCs/>
        </w:rPr>
      </w:pPr>
      <w:r>
        <w:rPr>
          <w:b/>
          <w:bCs/>
        </w:rPr>
        <w:br w:type="page"/>
      </w:r>
      <w:r w:rsidRPr="006F022B">
        <w:rPr>
          <w:b/>
          <w:bCs/>
        </w:rPr>
        <w:lastRenderedPageBreak/>
        <w:t xml:space="preserve">How Do You Measure </w:t>
      </w:r>
      <w:proofErr w:type="spellStart"/>
      <w:r w:rsidRPr="006F022B">
        <w:rPr>
          <w:b/>
          <w:bCs/>
        </w:rPr>
        <w:t>Disproportionality</w:t>
      </w:r>
      <w:proofErr w:type="spellEnd"/>
      <w:r w:rsidRPr="006F022B">
        <w:rPr>
          <w:b/>
          <w:bCs/>
        </w:rPr>
        <w:t>?</w:t>
      </w:r>
    </w:p>
    <w:p w:rsidR="006F022B" w:rsidRDefault="006F022B" w:rsidP="006F022B">
      <w:r>
        <w:t xml:space="preserve">Data Accountability Center (October, 2011). Methods for Assessing Racial/Ethnic </w:t>
      </w:r>
      <w:proofErr w:type="spellStart"/>
      <w:r>
        <w:t>Disproportionality</w:t>
      </w:r>
      <w:proofErr w:type="spellEnd"/>
      <w:r>
        <w:t xml:space="preserve"> in Special Education: A Technical Assistance Guide (Revised), </w:t>
      </w:r>
      <w:proofErr w:type="spellStart"/>
      <w:r>
        <w:t>Westat</w:t>
      </w:r>
      <w:proofErr w:type="spellEnd"/>
      <w:r>
        <w:t xml:space="preserve">, Rockville, MD, Julie </w:t>
      </w:r>
      <w:proofErr w:type="spellStart"/>
      <w:r>
        <w:t>Bollmer</w:t>
      </w:r>
      <w:proofErr w:type="spellEnd"/>
      <w:r>
        <w:t xml:space="preserve">, Jim Bethel, Tom </w:t>
      </w:r>
      <w:proofErr w:type="spellStart"/>
      <w:r>
        <w:t>Munk</w:t>
      </w:r>
      <w:proofErr w:type="spellEnd"/>
      <w:r>
        <w:t xml:space="preserve">, and Amy </w:t>
      </w:r>
      <w:proofErr w:type="spellStart"/>
      <w:r>
        <w:t>Bitterman</w:t>
      </w:r>
      <w:proofErr w:type="spellEnd"/>
      <w:r>
        <w:t>.</w:t>
      </w:r>
    </w:p>
    <w:p w:rsidR="006F022B" w:rsidRPr="00646E96" w:rsidRDefault="00B910A4" w:rsidP="00646E96">
      <w:pPr>
        <w:autoSpaceDE w:val="0"/>
        <w:autoSpaceDN w:val="0"/>
        <w:adjustRightInd w:val="0"/>
        <w:spacing w:after="0" w:line="240" w:lineRule="auto"/>
      </w:pPr>
      <w:hyperlink r:id="rId6" w:history="1">
        <w:r w:rsidR="006F022B" w:rsidRPr="00A93ED3">
          <w:rPr>
            <w:rStyle w:val="Hyperlink"/>
          </w:rPr>
          <w:t>https://www.ideadata.org/docs/RevisedDisp</w:t>
        </w:r>
        <w:r w:rsidR="006F022B" w:rsidRPr="00A93ED3">
          <w:rPr>
            <w:rStyle w:val="Hyperlink"/>
          </w:rPr>
          <w:t>r</w:t>
        </w:r>
        <w:r w:rsidR="006F022B" w:rsidRPr="00A93ED3">
          <w:rPr>
            <w:rStyle w:val="Hyperlink"/>
          </w:rPr>
          <w:t>oportionalityTAguide_FINAL.pdf</w:t>
        </w:r>
      </w:hyperlink>
      <w:r w:rsidR="00646E96">
        <w:br/>
      </w:r>
    </w:p>
    <w:p w:rsidR="006F022B" w:rsidRPr="00127125" w:rsidRDefault="006F022B" w:rsidP="006F022B">
      <w:pPr>
        <w:rPr>
          <w:rFonts w:cs="Arial"/>
          <w:b/>
          <w:color w:val="000000"/>
        </w:rPr>
      </w:pPr>
      <w:r w:rsidRPr="00127125">
        <w:rPr>
          <w:rFonts w:cs="Arial"/>
          <w:b/>
          <w:color w:val="000000"/>
        </w:rPr>
        <w:t>The Case for Using Multiple Measures</w:t>
      </w:r>
    </w:p>
    <w:p w:rsidR="006F022B" w:rsidRPr="00646E96" w:rsidRDefault="006F022B" w:rsidP="006F022B">
      <w:pPr>
        <w:pStyle w:val="ListParagraph"/>
        <w:numPr>
          <w:ilvl w:val="0"/>
          <w:numId w:val="6"/>
        </w:numPr>
        <w:autoSpaceDE w:val="0"/>
        <w:autoSpaceDN w:val="0"/>
        <w:adjustRightInd w:val="0"/>
        <w:spacing w:after="0" w:line="240" w:lineRule="auto"/>
        <w:rPr>
          <w:rFonts w:cs="ArialMT"/>
        </w:rPr>
      </w:pPr>
      <w:r>
        <w:t xml:space="preserve">Each method has its strengths and limitations. Given this, using multiple methods for calculating disproportionate representation and significant </w:t>
      </w:r>
      <w:proofErr w:type="spellStart"/>
      <w:r>
        <w:t>disproportionality</w:t>
      </w:r>
      <w:proofErr w:type="spellEnd"/>
      <w:r>
        <w:t xml:space="preserve"> should be considered. </w:t>
      </w:r>
    </w:p>
    <w:p w:rsidR="00646E96" w:rsidRPr="00F84BE6" w:rsidRDefault="00646E96" w:rsidP="00646E96">
      <w:pPr>
        <w:pStyle w:val="ListParagraph"/>
        <w:autoSpaceDE w:val="0"/>
        <w:autoSpaceDN w:val="0"/>
        <w:adjustRightInd w:val="0"/>
        <w:spacing w:after="0" w:line="240" w:lineRule="auto"/>
        <w:rPr>
          <w:rFonts w:cs="ArialMT"/>
        </w:rPr>
      </w:pPr>
    </w:p>
    <w:p w:rsidR="006F022B" w:rsidRPr="00646E96" w:rsidRDefault="006F022B" w:rsidP="006F022B">
      <w:pPr>
        <w:pStyle w:val="ListParagraph"/>
        <w:numPr>
          <w:ilvl w:val="0"/>
          <w:numId w:val="6"/>
        </w:numPr>
        <w:autoSpaceDE w:val="0"/>
        <w:autoSpaceDN w:val="0"/>
        <w:adjustRightInd w:val="0"/>
        <w:spacing w:after="0" w:line="240" w:lineRule="auto"/>
        <w:rPr>
          <w:rFonts w:cs="ArialMT"/>
        </w:rPr>
      </w:pPr>
      <w:r>
        <w:rPr>
          <w:rFonts w:cs="ArialMT"/>
        </w:rPr>
        <w:t>Where</w:t>
      </w:r>
      <w:r w:rsidRPr="00572903">
        <w:rPr>
          <w:rFonts w:cs="ArialMT"/>
        </w:rPr>
        <w:t xml:space="preserve"> two measures of </w:t>
      </w:r>
      <w:proofErr w:type="spellStart"/>
      <w:r w:rsidRPr="00572903">
        <w:rPr>
          <w:rFonts w:cs="ArialMT"/>
        </w:rPr>
        <w:t>disproportionality</w:t>
      </w:r>
      <w:proofErr w:type="spellEnd"/>
      <w:r w:rsidRPr="00572903">
        <w:rPr>
          <w:rFonts w:cs="ArialMT"/>
        </w:rPr>
        <w:t xml:space="preserve"> compensate for each other</w:t>
      </w:r>
      <w:r>
        <w:rPr>
          <w:rFonts w:cs="ArialMT"/>
        </w:rPr>
        <w:t>’s</w:t>
      </w:r>
      <w:r w:rsidRPr="00572903">
        <w:rPr>
          <w:rFonts w:cs="ArialMT"/>
        </w:rPr>
        <w:t xml:space="preserve"> weaknesses and bring together their individual strengths, a </w:t>
      </w:r>
      <w:r>
        <w:rPr>
          <w:rFonts w:cs="ArialMT"/>
        </w:rPr>
        <w:t>dual</w:t>
      </w:r>
      <w:r w:rsidRPr="00572903">
        <w:rPr>
          <w:rFonts w:cs="ArialMT"/>
        </w:rPr>
        <w:t xml:space="preserve"> measures approach appears to be a practical option</w:t>
      </w:r>
      <w:r>
        <w:rPr>
          <w:rFonts w:cs="ArialMT"/>
        </w:rPr>
        <w:t xml:space="preserve"> for ensure accurate identification of </w:t>
      </w:r>
      <w:proofErr w:type="spellStart"/>
      <w:r>
        <w:rPr>
          <w:rFonts w:cs="ArialMT"/>
        </w:rPr>
        <w:t>disproportionality</w:t>
      </w:r>
      <w:proofErr w:type="spellEnd"/>
      <w:r w:rsidRPr="00572903">
        <w:rPr>
          <w:rFonts w:cs="ArialMT"/>
        </w:rPr>
        <w:t xml:space="preserve">. </w:t>
      </w:r>
    </w:p>
    <w:p w:rsidR="006F022B" w:rsidRPr="006F022B" w:rsidRDefault="006F022B" w:rsidP="006F022B">
      <w:pPr>
        <w:rPr>
          <w:b/>
        </w:rPr>
      </w:pPr>
      <w:r w:rsidRPr="006F022B">
        <w:rPr>
          <w:b/>
        </w:rPr>
        <w:t>Risk</w:t>
      </w:r>
    </w:p>
    <w:p w:rsidR="00771200" w:rsidRPr="001457B8" w:rsidRDefault="00615536" w:rsidP="00615536">
      <w:r w:rsidRPr="001457B8">
        <w:t xml:space="preserve">Risk answers the question, “What </w:t>
      </w:r>
      <w:proofErr w:type="gramStart"/>
      <w:r w:rsidRPr="001457B8">
        <w:t>percentage of students from a specific racial group receive</w:t>
      </w:r>
      <w:proofErr w:type="gramEnd"/>
      <w:r w:rsidRPr="001457B8">
        <w:t xml:space="preserve"> special education and related services in a particular educational environment”?</w:t>
      </w:r>
    </w:p>
    <w:p w:rsidR="00F85A94" w:rsidRDefault="00615536" w:rsidP="00615536">
      <w:pPr>
        <w:rPr>
          <w:bCs/>
        </w:rPr>
      </w:pPr>
      <w:r w:rsidRPr="006F022B">
        <w:rPr>
          <w:bCs/>
        </w:rPr>
        <w:t>Risk</w:t>
      </w:r>
      <w:r w:rsidRPr="006F022B">
        <w:t xml:space="preserve"> = </w:t>
      </w:r>
      <w:r w:rsidRPr="006F022B">
        <w:rPr>
          <w:bCs/>
        </w:rPr>
        <w:t>Number of students from a given racial category in a specific disability divided by the number of enrolled students from that racial category</w:t>
      </w:r>
    </w:p>
    <w:p w:rsidR="007A7825" w:rsidRPr="007A7825" w:rsidRDefault="007A7825" w:rsidP="00615536">
      <w:pPr>
        <w:rPr>
          <w:b/>
          <w:bCs/>
        </w:rPr>
      </w:pPr>
      <w:r w:rsidRPr="007A7825">
        <w:rPr>
          <w:b/>
          <w:bCs/>
        </w:rPr>
        <w:t>Risk Ratio</w:t>
      </w:r>
    </w:p>
    <w:p w:rsidR="007A7825" w:rsidRDefault="007A7825" w:rsidP="00615536">
      <w:r>
        <w:t>The risk ratio answers the question, “What is a specific racial/ethnic group’s risk of receiving special education and related services for a particular disability as compared to the risk for all other children?”</w:t>
      </w:r>
    </w:p>
    <w:p w:rsidR="007A7825" w:rsidRPr="006F022B" w:rsidRDefault="007A7825" w:rsidP="00615536">
      <w:pPr>
        <w:rPr>
          <w:bCs/>
        </w:rPr>
      </w:pPr>
      <w:r>
        <w:t>Risk ratio = the r</w:t>
      </w:r>
      <w:r>
        <w:rPr>
          <w:sz w:val="23"/>
          <w:szCs w:val="23"/>
        </w:rPr>
        <w:t xml:space="preserve">isk for racial/ethnic group for disability category divided by the risk for comparison group for disability category </w:t>
      </w:r>
      <w:r>
        <w:t xml:space="preserve"> </w:t>
      </w:r>
    </w:p>
    <w:p w:rsidR="00420F21" w:rsidRDefault="00420F21" w:rsidP="00420F21">
      <w:pPr>
        <w:rPr>
          <w:b/>
        </w:rPr>
      </w:pPr>
      <w:r w:rsidRPr="00F85A94">
        <w:rPr>
          <w:b/>
        </w:rPr>
        <w:t xml:space="preserve">Alternate Risk Ratio </w:t>
      </w:r>
    </w:p>
    <w:p w:rsidR="00771200" w:rsidRDefault="00771200" w:rsidP="00615536">
      <w:r>
        <w:t>Alternate Risk Ratio answers the question, “What is a specific racial/ethnic group’s district-level risk of receiving special education and related services in a particular educational environment category as compared to the state-level risk for all other children with disabilities?”</w:t>
      </w:r>
    </w:p>
    <w:p w:rsidR="00420F21" w:rsidRPr="006F022B" w:rsidRDefault="006F022B" w:rsidP="00615536">
      <w:r>
        <w:t>Alternate risk ratio = the district level risk for racial/ethnic group for educational environment category divided by the state level risk for comparison group for educational environment category.</w:t>
      </w:r>
    </w:p>
    <w:p w:rsidR="00D721A9" w:rsidRDefault="00D721A9" w:rsidP="00420F21">
      <w:pPr>
        <w:rPr>
          <w:b/>
        </w:rPr>
      </w:pPr>
      <w:r>
        <w:rPr>
          <w:b/>
        </w:rPr>
        <w:t xml:space="preserve">Total Removals </w:t>
      </w:r>
      <w:proofErr w:type="gramStart"/>
      <w:r>
        <w:rPr>
          <w:b/>
        </w:rPr>
        <w:t>Per</w:t>
      </w:r>
      <w:proofErr w:type="gramEnd"/>
      <w:r>
        <w:rPr>
          <w:b/>
        </w:rPr>
        <w:t xml:space="preserve"> Child (TRPC) Ratio</w:t>
      </w:r>
    </w:p>
    <w:p w:rsidR="00D721A9" w:rsidRDefault="00D721A9" w:rsidP="00420F21">
      <w:pPr>
        <w:rPr>
          <w:b/>
        </w:rPr>
      </w:pPr>
      <w:r>
        <w:t>The alternate TRPC ratio answers the question, “What is the average number of removals per child for children with disabilities from a specific racial/ethnic group in the district as compared to that for all other children with disabilities in the state?”</w:t>
      </w:r>
    </w:p>
    <w:p w:rsidR="00D721A9" w:rsidRDefault="00D721A9" w:rsidP="00420F21">
      <w:pPr>
        <w:rPr>
          <w:b/>
        </w:rPr>
      </w:pPr>
      <w:r>
        <w:rPr>
          <w:b/>
          <w:noProof/>
        </w:rPr>
        <w:drawing>
          <wp:inline distT="0" distB="0" distL="0" distR="0">
            <wp:extent cx="4972050" cy="602429"/>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972050" cy="602429"/>
                    </a:xfrm>
                    <a:prstGeom prst="rect">
                      <a:avLst/>
                    </a:prstGeom>
                    <a:noFill/>
                    <a:ln w="9525">
                      <a:noFill/>
                      <a:miter lim="800000"/>
                      <a:headEnd/>
                      <a:tailEnd/>
                    </a:ln>
                  </pic:spPr>
                </pic:pic>
              </a:graphicData>
            </a:graphic>
          </wp:inline>
        </w:drawing>
      </w:r>
    </w:p>
    <w:p w:rsidR="0037581F" w:rsidRDefault="0037581F" w:rsidP="00420F21">
      <w:pPr>
        <w:rPr>
          <w:b/>
        </w:rPr>
      </w:pPr>
    </w:p>
    <w:p w:rsidR="0037581F" w:rsidRDefault="0037581F" w:rsidP="00420F21">
      <w:pPr>
        <w:rPr>
          <w:b/>
        </w:rPr>
      </w:pPr>
    </w:p>
    <w:p w:rsidR="00420F21" w:rsidRPr="00F85A94" w:rsidRDefault="00420F21" w:rsidP="00420F21">
      <w:pPr>
        <w:rPr>
          <w:b/>
        </w:rPr>
      </w:pPr>
      <w:r w:rsidRPr="00F85A94">
        <w:rPr>
          <w:b/>
        </w:rPr>
        <w:lastRenderedPageBreak/>
        <w:t xml:space="preserve">E-Formula for </w:t>
      </w:r>
      <w:proofErr w:type="gramStart"/>
      <w:r w:rsidRPr="00F85A94">
        <w:rPr>
          <w:b/>
        </w:rPr>
        <w:t>Over</w:t>
      </w:r>
      <w:proofErr w:type="gramEnd"/>
      <w:r w:rsidRPr="00F85A94">
        <w:rPr>
          <w:b/>
        </w:rPr>
        <w:t xml:space="preserve"> representation</w:t>
      </w:r>
      <w:r>
        <w:rPr>
          <w:b/>
        </w:rPr>
        <w:t xml:space="preserve"> in Placement</w:t>
      </w:r>
    </w:p>
    <w:p w:rsidR="00F85A94" w:rsidRDefault="00F85A94" w:rsidP="00615536">
      <w:r>
        <w:t xml:space="preserve">The E-formula answers the question: “Is the percentage of children with disabilities receiving special education and related services in a particular educational environment </w:t>
      </w:r>
      <w:proofErr w:type="gramStart"/>
      <w:r>
        <w:t>who</w:t>
      </w:r>
      <w:proofErr w:type="gramEnd"/>
      <w:r>
        <w:t xml:space="preserve"> are from a specific racial/ethnic group above the upper bound of what is expected given the percentage of children with disabilities from that racial/ethnic group?”</w:t>
      </w:r>
    </w:p>
    <w:p w:rsidR="00F85A94" w:rsidRDefault="00F85A94" w:rsidP="00F85A94">
      <w:r>
        <w:rPr>
          <w:noProof/>
        </w:rPr>
        <w:drawing>
          <wp:inline distT="0" distB="0" distL="0" distR="0">
            <wp:extent cx="5943600" cy="1584101"/>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43600" cy="1584101"/>
                    </a:xfrm>
                    <a:prstGeom prst="rect">
                      <a:avLst/>
                    </a:prstGeom>
                    <a:noFill/>
                    <a:ln w="9525">
                      <a:noFill/>
                      <a:miter lim="800000"/>
                      <a:headEnd/>
                      <a:tailEnd/>
                    </a:ln>
                  </pic:spPr>
                </pic:pic>
              </a:graphicData>
            </a:graphic>
          </wp:inline>
        </w:drawing>
      </w:r>
    </w:p>
    <w:p w:rsidR="00493EC7" w:rsidRDefault="00F85A94" w:rsidP="00F85A94">
      <w:r>
        <w:t>The E-formula establishes upper bounds for overrepresentation and lower bounds for underrepresentation by taking into account the size of the district. Once these upper and lower bounds are calculated, the composition for the specific racial/ethnic group for the educational environment is then compared to the upper or lower bound to tell us if there is overrepresentation or underrepresentation, respectively.  The E-formula automatically adjusts the upper and lower bounds as N changes.</w:t>
      </w:r>
    </w:p>
    <w:p w:rsidR="00572903" w:rsidRPr="00572903" w:rsidRDefault="00572903" w:rsidP="00F85A94">
      <w:pPr>
        <w:rPr>
          <w:b/>
        </w:rPr>
      </w:pPr>
      <w:r w:rsidRPr="00572903">
        <w:rPr>
          <w:b/>
        </w:rPr>
        <w:t xml:space="preserve">The E-formulas for </w:t>
      </w:r>
      <w:proofErr w:type="spellStart"/>
      <w:r w:rsidRPr="00572903">
        <w:rPr>
          <w:b/>
        </w:rPr>
        <w:t>Disproportionality</w:t>
      </w:r>
      <w:proofErr w:type="spellEnd"/>
      <w:r w:rsidRPr="00572903">
        <w:rPr>
          <w:b/>
        </w:rPr>
        <w:t xml:space="preserve"> in Discipline</w:t>
      </w:r>
    </w:p>
    <w:p w:rsidR="00875615" w:rsidRDefault="00572903" w:rsidP="00F85A94">
      <w:r w:rsidRPr="00572903">
        <w:rPr>
          <w:b/>
        </w:rPr>
        <w:t>In-school Suspension and Out-of-School Suspension:</w:t>
      </w:r>
      <w:r>
        <w:t xml:space="preserve"> </w:t>
      </w:r>
      <w:r w:rsidR="00875615">
        <w:t xml:space="preserve">The E-formula answers the question: “Is the percentage of children with disabilities experiencing a particular type of suspension/expulsion </w:t>
      </w:r>
      <w:proofErr w:type="gramStart"/>
      <w:r w:rsidR="00875615">
        <w:t>who</w:t>
      </w:r>
      <w:proofErr w:type="gramEnd"/>
      <w:r w:rsidR="00875615">
        <w:t xml:space="preserve"> are from a specific racial/ethnic group above the upper bound of what is expected given the percentage of children with disabilities who are from that racial/ethnic group?”</w:t>
      </w:r>
    </w:p>
    <w:p w:rsidR="009551DF" w:rsidRDefault="009551DF" w:rsidP="00F85A94">
      <w:r>
        <w:rPr>
          <w:noProof/>
        </w:rPr>
        <w:drawing>
          <wp:inline distT="0" distB="0" distL="0" distR="0">
            <wp:extent cx="5943600" cy="1513874"/>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943600" cy="1513874"/>
                    </a:xfrm>
                    <a:prstGeom prst="rect">
                      <a:avLst/>
                    </a:prstGeom>
                    <a:noFill/>
                    <a:ln w="9525">
                      <a:noFill/>
                      <a:miter lim="800000"/>
                      <a:headEnd/>
                      <a:tailEnd/>
                    </a:ln>
                  </pic:spPr>
                </pic:pic>
              </a:graphicData>
            </a:graphic>
          </wp:inline>
        </w:drawing>
      </w:r>
    </w:p>
    <w:p w:rsidR="00572903" w:rsidRDefault="00572903" w:rsidP="00F85A94">
      <w:r w:rsidRPr="00572903">
        <w:rPr>
          <w:b/>
        </w:rPr>
        <w:t>Total Removals:</w:t>
      </w:r>
      <w:r>
        <w:t xml:space="preserve"> The E-formula answers the question: “Is the percentage of total disciplinary removals experienced by children with disabilities who are from a specific racial/ethnic group above the upper bound of what is expected given the percentage of children with disabilities from that racial/ethnic group?”</w:t>
      </w:r>
    </w:p>
    <w:p w:rsidR="00F84BE6" w:rsidRPr="0037581F" w:rsidRDefault="009551DF" w:rsidP="0037581F">
      <w:r>
        <w:rPr>
          <w:noProof/>
        </w:rPr>
        <w:drawing>
          <wp:inline distT="0" distB="0" distL="0" distR="0">
            <wp:extent cx="5943600" cy="143925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943600" cy="1439257"/>
                    </a:xfrm>
                    <a:prstGeom prst="rect">
                      <a:avLst/>
                    </a:prstGeom>
                    <a:noFill/>
                    <a:ln w="9525">
                      <a:noFill/>
                      <a:miter lim="800000"/>
                      <a:headEnd/>
                      <a:tailEnd/>
                    </a:ln>
                  </pic:spPr>
                </pic:pic>
              </a:graphicData>
            </a:graphic>
          </wp:inline>
        </w:drawing>
      </w:r>
    </w:p>
    <w:sectPr w:rsidR="00F84BE6" w:rsidRPr="0037581F" w:rsidSect="0037581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AE1EEE"/>
    <w:multiLevelType w:val="hybridMultilevel"/>
    <w:tmpl w:val="782C8D7A"/>
    <w:lvl w:ilvl="0" w:tplc="009476F2">
      <w:start w:val="1"/>
      <w:numFmt w:val="bullet"/>
      <w:lvlText w:val="•"/>
      <w:lvlJc w:val="left"/>
      <w:pPr>
        <w:tabs>
          <w:tab w:val="num" w:pos="720"/>
        </w:tabs>
        <w:ind w:left="720" w:hanging="360"/>
      </w:pPr>
      <w:rPr>
        <w:rFonts w:ascii="Times New Roman" w:hAnsi="Times New Roman" w:hint="default"/>
      </w:rPr>
    </w:lvl>
    <w:lvl w:ilvl="1" w:tplc="BEB22F88" w:tentative="1">
      <w:start w:val="1"/>
      <w:numFmt w:val="bullet"/>
      <w:lvlText w:val="•"/>
      <w:lvlJc w:val="left"/>
      <w:pPr>
        <w:tabs>
          <w:tab w:val="num" w:pos="1440"/>
        </w:tabs>
        <w:ind w:left="1440" w:hanging="360"/>
      </w:pPr>
      <w:rPr>
        <w:rFonts w:ascii="Times New Roman" w:hAnsi="Times New Roman" w:hint="default"/>
      </w:rPr>
    </w:lvl>
    <w:lvl w:ilvl="2" w:tplc="CCB24DA4" w:tentative="1">
      <w:start w:val="1"/>
      <w:numFmt w:val="bullet"/>
      <w:lvlText w:val="•"/>
      <w:lvlJc w:val="left"/>
      <w:pPr>
        <w:tabs>
          <w:tab w:val="num" w:pos="2160"/>
        </w:tabs>
        <w:ind w:left="2160" w:hanging="360"/>
      </w:pPr>
      <w:rPr>
        <w:rFonts w:ascii="Times New Roman" w:hAnsi="Times New Roman" w:hint="default"/>
      </w:rPr>
    </w:lvl>
    <w:lvl w:ilvl="3" w:tplc="FCD2B970" w:tentative="1">
      <w:start w:val="1"/>
      <w:numFmt w:val="bullet"/>
      <w:lvlText w:val="•"/>
      <w:lvlJc w:val="left"/>
      <w:pPr>
        <w:tabs>
          <w:tab w:val="num" w:pos="2880"/>
        </w:tabs>
        <w:ind w:left="2880" w:hanging="360"/>
      </w:pPr>
      <w:rPr>
        <w:rFonts w:ascii="Times New Roman" w:hAnsi="Times New Roman" w:hint="default"/>
      </w:rPr>
    </w:lvl>
    <w:lvl w:ilvl="4" w:tplc="A898800A" w:tentative="1">
      <w:start w:val="1"/>
      <w:numFmt w:val="bullet"/>
      <w:lvlText w:val="•"/>
      <w:lvlJc w:val="left"/>
      <w:pPr>
        <w:tabs>
          <w:tab w:val="num" w:pos="3600"/>
        </w:tabs>
        <w:ind w:left="3600" w:hanging="360"/>
      </w:pPr>
      <w:rPr>
        <w:rFonts w:ascii="Times New Roman" w:hAnsi="Times New Roman" w:hint="default"/>
      </w:rPr>
    </w:lvl>
    <w:lvl w:ilvl="5" w:tplc="6EFA0406" w:tentative="1">
      <w:start w:val="1"/>
      <w:numFmt w:val="bullet"/>
      <w:lvlText w:val="•"/>
      <w:lvlJc w:val="left"/>
      <w:pPr>
        <w:tabs>
          <w:tab w:val="num" w:pos="4320"/>
        </w:tabs>
        <w:ind w:left="4320" w:hanging="360"/>
      </w:pPr>
      <w:rPr>
        <w:rFonts w:ascii="Times New Roman" w:hAnsi="Times New Roman" w:hint="default"/>
      </w:rPr>
    </w:lvl>
    <w:lvl w:ilvl="6" w:tplc="94F27690" w:tentative="1">
      <w:start w:val="1"/>
      <w:numFmt w:val="bullet"/>
      <w:lvlText w:val="•"/>
      <w:lvlJc w:val="left"/>
      <w:pPr>
        <w:tabs>
          <w:tab w:val="num" w:pos="5040"/>
        </w:tabs>
        <w:ind w:left="5040" w:hanging="360"/>
      </w:pPr>
      <w:rPr>
        <w:rFonts w:ascii="Times New Roman" w:hAnsi="Times New Roman" w:hint="default"/>
      </w:rPr>
    </w:lvl>
    <w:lvl w:ilvl="7" w:tplc="DBEEC8E8" w:tentative="1">
      <w:start w:val="1"/>
      <w:numFmt w:val="bullet"/>
      <w:lvlText w:val="•"/>
      <w:lvlJc w:val="left"/>
      <w:pPr>
        <w:tabs>
          <w:tab w:val="num" w:pos="5760"/>
        </w:tabs>
        <w:ind w:left="5760" w:hanging="360"/>
      </w:pPr>
      <w:rPr>
        <w:rFonts w:ascii="Times New Roman" w:hAnsi="Times New Roman" w:hint="default"/>
      </w:rPr>
    </w:lvl>
    <w:lvl w:ilvl="8" w:tplc="1698361E" w:tentative="1">
      <w:start w:val="1"/>
      <w:numFmt w:val="bullet"/>
      <w:lvlText w:val="•"/>
      <w:lvlJc w:val="left"/>
      <w:pPr>
        <w:tabs>
          <w:tab w:val="num" w:pos="6480"/>
        </w:tabs>
        <w:ind w:left="6480" w:hanging="360"/>
      </w:pPr>
      <w:rPr>
        <w:rFonts w:ascii="Times New Roman" w:hAnsi="Times New Roman" w:hint="default"/>
      </w:rPr>
    </w:lvl>
  </w:abstractNum>
  <w:abstractNum w:abstractNumId="1">
    <w:nsid w:val="1EBD5DB4"/>
    <w:multiLevelType w:val="hybridMultilevel"/>
    <w:tmpl w:val="396094A6"/>
    <w:lvl w:ilvl="0" w:tplc="3EBC354A">
      <w:start w:val="1"/>
      <w:numFmt w:val="bullet"/>
      <w:lvlText w:val="•"/>
      <w:lvlJc w:val="left"/>
      <w:pPr>
        <w:tabs>
          <w:tab w:val="num" w:pos="720"/>
        </w:tabs>
        <w:ind w:left="720" w:hanging="360"/>
      </w:pPr>
      <w:rPr>
        <w:rFonts w:ascii="Times New Roman" w:hAnsi="Times New Roman" w:hint="default"/>
      </w:rPr>
    </w:lvl>
    <w:lvl w:ilvl="1" w:tplc="A32E82EA" w:tentative="1">
      <w:start w:val="1"/>
      <w:numFmt w:val="bullet"/>
      <w:lvlText w:val="•"/>
      <w:lvlJc w:val="left"/>
      <w:pPr>
        <w:tabs>
          <w:tab w:val="num" w:pos="1440"/>
        </w:tabs>
        <w:ind w:left="1440" w:hanging="360"/>
      </w:pPr>
      <w:rPr>
        <w:rFonts w:ascii="Times New Roman" w:hAnsi="Times New Roman" w:hint="default"/>
      </w:rPr>
    </w:lvl>
    <w:lvl w:ilvl="2" w:tplc="E19CA532" w:tentative="1">
      <w:start w:val="1"/>
      <w:numFmt w:val="bullet"/>
      <w:lvlText w:val="•"/>
      <w:lvlJc w:val="left"/>
      <w:pPr>
        <w:tabs>
          <w:tab w:val="num" w:pos="2160"/>
        </w:tabs>
        <w:ind w:left="2160" w:hanging="360"/>
      </w:pPr>
      <w:rPr>
        <w:rFonts w:ascii="Times New Roman" w:hAnsi="Times New Roman" w:hint="default"/>
      </w:rPr>
    </w:lvl>
    <w:lvl w:ilvl="3" w:tplc="1198323A" w:tentative="1">
      <w:start w:val="1"/>
      <w:numFmt w:val="bullet"/>
      <w:lvlText w:val="•"/>
      <w:lvlJc w:val="left"/>
      <w:pPr>
        <w:tabs>
          <w:tab w:val="num" w:pos="2880"/>
        </w:tabs>
        <w:ind w:left="2880" w:hanging="360"/>
      </w:pPr>
      <w:rPr>
        <w:rFonts w:ascii="Times New Roman" w:hAnsi="Times New Roman" w:hint="default"/>
      </w:rPr>
    </w:lvl>
    <w:lvl w:ilvl="4" w:tplc="3A227C00" w:tentative="1">
      <w:start w:val="1"/>
      <w:numFmt w:val="bullet"/>
      <w:lvlText w:val="•"/>
      <w:lvlJc w:val="left"/>
      <w:pPr>
        <w:tabs>
          <w:tab w:val="num" w:pos="3600"/>
        </w:tabs>
        <w:ind w:left="3600" w:hanging="360"/>
      </w:pPr>
      <w:rPr>
        <w:rFonts w:ascii="Times New Roman" w:hAnsi="Times New Roman" w:hint="default"/>
      </w:rPr>
    </w:lvl>
    <w:lvl w:ilvl="5" w:tplc="9676AE32" w:tentative="1">
      <w:start w:val="1"/>
      <w:numFmt w:val="bullet"/>
      <w:lvlText w:val="•"/>
      <w:lvlJc w:val="left"/>
      <w:pPr>
        <w:tabs>
          <w:tab w:val="num" w:pos="4320"/>
        </w:tabs>
        <w:ind w:left="4320" w:hanging="360"/>
      </w:pPr>
      <w:rPr>
        <w:rFonts w:ascii="Times New Roman" w:hAnsi="Times New Roman" w:hint="default"/>
      </w:rPr>
    </w:lvl>
    <w:lvl w:ilvl="6" w:tplc="2D4042E6" w:tentative="1">
      <w:start w:val="1"/>
      <w:numFmt w:val="bullet"/>
      <w:lvlText w:val="•"/>
      <w:lvlJc w:val="left"/>
      <w:pPr>
        <w:tabs>
          <w:tab w:val="num" w:pos="5040"/>
        </w:tabs>
        <w:ind w:left="5040" w:hanging="360"/>
      </w:pPr>
      <w:rPr>
        <w:rFonts w:ascii="Times New Roman" w:hAnsi="Times New Roman" w:hint="default"/>
      </w:rPr>
    </w:lvl>
    <w:lvl w:ilvl="7" w:tplc="BDA85578" w:tentative="1">
      <w:start w:val="1"/>
      <w:numFmt w:val="bullet"/>
      <w:lvlText w:val="•"/>
      <w:lvlJc w:val="left"/>
      <w:pPr>
        <w:tabs>
          <w:tab w:val="num" w:pos="5760"/>
        </w:tabs>
        <w:ind w:left="5760" w:hanging="360"/>
      </w:pPr>
      <w:rPr>
        <w:rFonts w:ascii="Times New Roman" w:hAnsi="Times New Roman" w:hint="default"/>
      </w:rPr>
    </w:lvl>
    <w:lvl w:ilvl="8" w:tplc="7736C6C0" w:tentative="1">
      <w:start w:val="1"/>
      <w:numFmt w:val="bullet"/>
      <w:lvlText w:val="•"/>
      <w:lvlJc w:val="left"/>
      <w:pPr>
        <w:tabs>
          <w:tab w:val="num" w:pos="6480"/>
        </w:tabs>
        <w:ind w:left="6480" w:hanging="360"/>
      </w:pPr>
      <w:rPr>
        <w:rFonts w:ascii="Times New Roman" w:hAnsi="Times New Roman" w:hint="default"/>
      </w:rPr>
    </w:lvl>
  </w:abstractNum>
  <w:abstractNum w:abstractNumId="2">
    <w:nsid w:val="231F19F4"/>
    <w:multiLevelType w:val="hybridMultilevel"/>
    <w:tmpl w:val="B1522CB8"/>
    <w:lvl w:ilvl="0" w:tplc="0CD81BAC">
      <w:start w:val="1"/>
      <w:numFmt w:val="bullet"/>
      <w:lvlText w:val="•"/>
      <w:lvlJc w:val="left"/>
      <w:pPr>
        <w:tabs>
          <w:tab w:val="num" w:pos="720"/>
        </w:tabs>
        <w:ind w:left="720" w:hanging="360"/>
      </w:pPr>
      <w:rPr>
        <w:rFonts w:ascii="Times New Roman" w:hAnsi="Times New Roman" w:hint="default"/>
      </w:rPr>
    </w:lvl>
    <w:lvl w:ilvl="1" w:tplc="1CC64EE0" w:tentative="1">
      <w:start w:val="1"/>
      <w:numFmt w:val="bullet"/>
      <w:lvlText w:val="•"/>
      <w:lvlJc w:val="left"/>
      <w:pPr>
        <w:tabs>
          <w:tab w:val="num" w:pos="1440"/>
        </w:tabs>
        <w:ind w:left="1440" w:hanging="360"/>
      </w:pPr>
      <w:rPr>
        <w:rFonts w:ascii="Times New Roman" w:hAnsi="Times New Roman" w:hint="default"/>
      </w:rPr>
    </w:lvl>
    <w:lvl w:ilvl="2" w:tplc="72B05158" w:tentative="1">
      <w:start w:val="1"/>
      <w:numFmt w:val="bullet"/>
      <w:lvlText w:val="•"/>
      <w:lvlJc w:val="left"/>
      <w:pPr>
        <w:tabs>
          <w:tab w:val="num" w:pos="2160"/>
        </w:tabs>
        <w:ind w:left="2160" w:hanging="360"/>
      </w:pPr>
      <w:rPr>
        <w:rFonts w:ascii="Times New Roman" w:hAnsi="Times New Roman" w:hint="default"/>
      </w:rPr>
    </w:lvl>
    <w:lvl w:ilvl="3" w:tplc="01542AB0" w:tentative="1">
      <w:start w:val="1"/>
      <w:numFmt w:val="bullet"/>
      <w:lvlText w:val="•"/>
      <w:lvlJc w:val="left"/>
      <w:pPr>
        <w:tabs>
          <w:tab w:val="num" w:pos="2880"/>
        </w:tabs>
        <w:ind w:left="2880" w:hanging="360"/>
      </w:pPr>
      <w:rPr>
        <w:rFonts w:ascii="Times New Roman" w:hAnsi="Times New Roman" w:hint="default"/>
      </w:rPr>
    </w:lvl>
    <w:lvl w:ilvl="4" w:tplc="227C79AC" w:tentative="1">
      <w:start w:val="1"/>
      <w:numFmt w:val="bullet"/>
      <w:lvlText w:val="•"/>
      <w:lvlJc w:val="left"/>
      <w:pPr>
        <w:tabs>
          <w:tab w:val="num" w:pos="3600"/>
        </w:tabs>
        <w:ind w:left="3600" w:hanging="360"/>
      </w:pPr>
      <w:rPr>
        <w:rFonts w:ascii="Times New Roman" w:hAnsi="Times New Roman" w:hint="default"/>
      </w:rPr>
    </w:lvl>
    <w:lvl w:ilvl="5" w:tplc="17B61C36" w:tentative="1">
      <w:start w:val="1"/>
      <w:numFmt w:val="bullet"/>
      <w:lvlText w:val="•"/>
      <w:lvlJc w:val="left"/>
      <w:pPr>
        <w:tabs>
          <w:tab w:val="num" w:pos="4320"/>
        </w:tabs>
        <w:ind w:left="4320" w:hanging="360"/>
      </w:pPr>
      <w:rPr>
        <w:rFonts w:ascii="Times New Roman" w:hAnsi="Times New Roman" w:hint="default"/>
      </w:rPr>
    </w:lvl>
    <w:lvl w:ilvl="6" w:tplc="B4803412" w:tentative="1">
      <w:start w:val="1"/>
      <w:numFmt w:val="bullet"/>
      <w:lvlText w:val="•"/>
      <w:lvlJc w:val="left"/>
      <w:pPr>
        <w:tabs>
          <w:tab w:val="num" w:pos="5040"/>
        </w:tabs>
        <w:ind w:left="5040" w:hanging="360"/>
      </w:pPr>
      <w:rPr>
        <w:rFonts w:ascii="Times New Roman" w:hAnsi="Times New Roman" w:hint="default"/>
      </w:rPr>
    </w:lvl>
    <w:lvl w:ilvl="7" w:tplc="E42628A4" w:tentative="1">
      <w:start w:val="1"/>
      <w:numFmt w:val="bullet"/>
      <w:lvlText w:val="•"/>
      <w:lvlJc w:val="left"/>
      <w:pPr>
        <w:tabs>
          <w:tab w:val="num" w:pos="5760"/>
        </w:tabs>
        <w:ind w:left="5760" w:hanging="360"/>
      </w:pPr>
      <w:rPr>
        <w:rFonts w:ascii="Times New Roman" w:hAnsi="Times New Roman" w:hint="default"/>
      </w:rPr>
    </w:lvl>
    <w:lvl w:ilvl="8" w:tplc="967A725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8C848BD"/>
    <w:multiLevelType w:val="hybridMultilevel"/>
    <w:tmpl w:val="916EC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7A5AD8"/>
    <w:multiLevelType w:val="hybridMultilevel"/>
    <w:tmpl w:val="BA4680A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nsid w:val="437F1294"/>
    <w:multiLevelType w:val="hybridMultilevel"/>
    <w:tmpl w:val="EA963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412720"/>
    <w:multiLevelType w:val="hybridMultilevel"/>
    <w:tmpl w:val="3B2C6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7C0B76"/>
    <w:multiLevelType w:val="multilevel"/>
    <w:tmpl w:val="A360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2094A30"/>
    <w:multiLevelType w:val="hybridMultilevel"/>
    <w:tmpl w:val="B970A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3D67AB"/>
    <w:multiLevelType w:val="hybridMultilevel"/>
    <w:tmpl w:val="CA049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 w:numId="6">
    <w:abstractNumId w:val="9"/>
  </w:num>
  <w:num w:numId="7">
    <w:abstractNumId w:val="5"/>
  </w:num>
  <w:num w:numId="8">
    <w:abstractNumId w:val="6"/>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615536"/>
    <w:rsid w:val="000C0703"/>
    <w:rsid w:val="00127125"/>
    <w:rsid w:val="001457B8"/>
    <w:rsid w:val="00292490"/>
    <w:rsid w:val="0037581F"/>
    <w:rsid w:val="00420F21"/>
    <w:rsid w:val="00493EC7"/>
    <w:rsid w:val="00521366"/>
    <w:rsid w:val="00572903"/>
    <w:rsid w:val="00577A6F"/>
    <w:rsid w:val="005B4535"/>
    <w:rsid w:val="005F7D3E"/>
    <w:rsid w:val="00615536"/>
    <w:rsid w:val="00646E96"/>
    <w:rsid w:val="00653507"/>
    <w:rsid w:val="0069773B"/>
    <w:rsid w:val="006D7BD5"/>
    <w:rsid w:val="006F022B"/>
    <w:rsid w:val="0074479B"/>
    <w:rsid w:val="00761577"/>
    <w:rsid w:val="00771200"/>
    <w:rsid w:val="007A7825"/>
    <w:rsid w:val="00803100"/>
    <w:rsid w:val="00875615"/>
    <w:rsid w:val="00890067"/>
    <w:rsid w:val="008A54C8"/>
    <w:rsid w:val="008B22B7"/>
    <w:rsid w:val="008B4C15"/>
    <w:rsid w:val="009551DF"/>
    <w:rsid w:val="009B5376"/>
    <w:rsid w:val="00AB47A0"/>
    <w:rsid w:val="00B8259C"/>
    <w:rsid w:val="00B910A4"/>
    <w:rsid w:val="00C43270"/>
    <w:rsid w:val="00C66EDB"/>
    <w:rsid w:val="00D721A9"/>
    <w:rsid w:val="00DD228A"/>
    <w:rsid w:val="00DF6359"/>
    <w:rsid w:val="00E0021F"/>
    <w:rsid w:val="00EC1842"/>
    <w:rsid w:val="00F84BE6"/>
    <w:rsid w:val="00F85A9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2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15536"/>
    <w:rPr>
      <w:color w:val="0000FF" w:themeColor="hyperlink"/>
      <w:u w:val="single"/>
    </w:rPr>
  </w:style>
  <w:style w:type="paragraph" w:styleId="ListParagraph">
    <w:name w:val="List Paragraph"/>
    <w:basedOn w:val="Normal"/>
    <w:uiPriority w:val="34"/>
    <w:qFormat/>
    <w:rsid w:val="00577A6F"/>
    <w:pPr>
      <w:ind w:left="720"/>
      <w:contextualSpacing/>
    </w:pPr>
  </w:style>
  <w:style w:type="paragraph" w:styleId="BalloonText">
    <w:name w:val="Balloon Text"/>
    <w:basedOn w:val="Normal"/>
    <w:link w:val="BalloonTextChar"/>
    <w:uiPriority w:val="99"/>
    <w:semiHidden/>
    <w:unhideWhenUsed/>
    <w:rsid w:val="00653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3507"/>
    <w:rPr>
      <w:rFonts w:ascii="Tahoma" w:hAnsi="Tahoma" w:cs="Tahoma"/>
      <w:sz w:val="16"/>
      <w:szCs w:val="16"/>
    </w:rPr>
  </w:style>
  <w:style w:type="paragraph" w:customStyle="1" w:styleId="Default">
    <w:name w:val="Default"/>
    <w:rsid w:val="00521366"/>
    <w:pPr>
      <w:autoSpaceDE w:val="0"/>
      <w:autoSpaceDN w:val="0"/>
      <w:adjustRightInd w:val="0"/>
      <w:spacing w:after="0" w:line="240" w:lineRule="auto"/>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292490"/>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4592046">
      <w:bodyDiv w:val="1"/>
      <w:marLeft w:val="0"/>
      <w:marRight w:val="0"/>
      <w:marTop w:val="0"/>
      <w:marBottom w:val="0"/>
      <w:divBdr>
        <w:top w:val="none" w:sz="0" w:space="0" w:color="auto"/>
        <w:left w:val="none" w:sz="0" w:space="0" w:color="auto"/>
        <w:bottom w:val="none" w:sz="0" w:space="0" w:color="auto"/>
        <w:right w:val="none" w:sz="0" w:space="0" w:color="auto"/>
      </w:divBdr>
    </w:div>
    <w:div w:id="444084021">
      <w:bodyDiv w:val="1"/>
      <w:marLeft w:val="0"/>
      <w:marRight w:val="0"/>
      <w:marTop w:val="0"/>
      <w:marBottom w:val="0"/>
      <w:divBdr>
        <w:top w:val="none" w:sz="0" w:space="0" w:color="auto"/>
        <w:left w:val="none" w:sz="0" w:space="0" w:color="auto"/>
        <w:bottom w:val="none" w:sz="0" w:space="0" w:color="auto"/>
        <w:right w:val="none" w:sz="0" w:space="0" w:color="auto"/>
      </w:divBdr>
      <w:divsChild>
        <w:div w:id="1249576238">
          <w:marLeft w:val="547"/>
          <w:marRight w:val="0"/>
          <w:marTop w:val="134"/>
          <w:marBottom w:val="269"/>
          <w:divBdr>
            <w:top w:val="none" w:sz="0" w:space="0" w:color="auto"/>
            <w:left w:val="none" w:sz="0" w:space="0" w:color="auto"/>
            <w:bottom w:val="none" w:sz="0" w:space="0" w:color="auto"/>
            <w:right w:val="none" w:sz="0" w:space="0" w:color="auto"/>
          </w:divBdr>
        </w:div>
        <w:div w:id="962150301">
          <w:marLeft w:val="547"/>
          <w:marRight w:val="0"/>
          <w:marTop w:val="134"/>
          <w:marBottom w:val="269"/>
          <w:divBdr>
            <w:top w:val="none" w:sz="0" w:space="0" w:color="auto"/>
            <w:left w:val="none" w:sz="0" w:space="0" w:color="auto"/>
            <w:bottom w:val="none" w:sz="0" w:space="0" w:color="auto"/>
            <w:right w:val="none" w:sz="0" w:space="0" w:color="auto"/>
          </w:divBdr>
        </w:div>
        <w:div w:id="306475076">
          <w:marLeft w:val="547"/>
          <w:marRight w:val="0"/>
          <w:marTop w:val="134"/>
          <w:marBottom w:val="269"/>
          <w:divBdr>
            <w:top w:val="none" w:sz="0" w:space="0" w:color="auto"/>
            <w:left w:val="none" w:sz="0" w:space="0" w:color="auto"/>
            <w:bottom w:val="none" w:sz="0" w:space="0" w:color="auto"/>
            <w:right w:val="none" w:sz="0" w:space="0" w:color="auto"/>
          </w:divBdr>
        </w:div>
        <w:div w:id="2019498040">
          <w:marLeft w:val="547"/>
          <w:marRight w:val="0"/>
          <w:marTop w:val="134"/>
          <w:marBottom w:val="269"/>
          <w:divBdr>
            <w:top w:val="none" w:sz="0" w:space="0" w:color="auto"/>
            <w:left w:val="none" w:sz="0" w:space="0" w:color="auto"/>
            <w:bottom w:val="none" w:sz="0" w:space="0" w:color="auto"/>
            <w:right w:val="none" w:sz="0" w:space="0" w:color="auto"/>
          </w:divBdr>
        </w:div>
      </w:divsChild>
    </w:div>
    <w:div w:id="744455928">
      <w:bodyDiv w:val="1"/>
      <w:marLeft w:val="0"/>
      <w:marRight w:val="0"/>
      <w:marTop w:val="0"/>
      <w:marBottom w:val="0"/>
      <w:divBdr>
        <w:top w:val="none" w:sz="0" w:space="0" w:color="auto"/>
        <w:left w:val="none" w:sz="0" w:space="0" w:color="auto"/>
        <w:bottom w:val="none" w:sz="0" w:space="0" w:color="auto"/>
        <w:right w:val="none" w:sz="0" w:space="0" w:color="auto"/>
      </w:divBdr>
      <w:divsChild>
        <w:div w:id="427428566">
          <w:marLeft w:val="0"/>
          <w:marRight w:val="0"/>
          <w:marTop w:val="0"/>
          <w:marBottom w:val="0"/>
          <w:divBdr>
            <w:top w:val="none" w:sz="0" w:space="0" w:color="auto"/>
            <w:left w:val="none" w:sz="0" w:space="0" w:color="auto"/>
            <w:bottom w:val="none" w:sz="0" w:space="0" w:color="auto"/>
            <w:right w:val="none" w:sz="0" w:space="0" w:color="auto"/>
          </w:divBdr>
          <w:divsChild>
            <w:div w:id="1007640146">
              <w:marLeft w:val="0"/>
              <w:marRight w:val="0"/>
              <w:marTop w:val="0"/>
              <w:marBottom w:val="0"/>
              <w:divBdr>
                <w:top w:val="none" w:sz="0" w:space="0" w:color="auto"/>
                <w:left w:val="none" w:sz="0" w:space="0" w:color="auto"/>
                <w:bottom w:val="none" w:sz="0" w:space="0" w:color="auto"/>
                <w:right w:val="none" w:sz="0" w:space="0" w:color="auto"/>
              </w:divBdr>
              <w:divsChild>
                <w:div w:id="1517841837">
                  <w:marLeft w:val="0"/>
                  <w:marRight w:val="0"/>
                  <w:marTop w:val="0"/>
                  <w:marBottom w:val="0"/>
                  <w:divBdr>
                    <w:top w:val="none" w:sz="0" w:space="0" w:color="auto"/>
                    <w:left w:val="none" w:sz="0" w:space="0" w:color="auto"/>
                    <w:bottom w:val="none" w:sz="0" w:space="0" w:color="auto"/>
                    <w:right w:val="none" w:sz="0" w:space="0" w:color="auto"/>
                  </w:divBdr>
                  <w:divsChild>
                    <w:div w:id="178915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154136">
      <w:bodyDiv w:val="1"/>
      <w:marLeft w:val="0"/>
      <w:marRight w:val="0"/>
      <w:marTop w:val="0"/>
      <w:marBottom w:val="0"/>
      <w:divBdr>
        <w:top w:val="none" w:sz="0" w:space="0" w:color="auto"/>
        <w:left w:val="none" w:sz="0" w:space="0" w:color="auto"/>
        <w:bottom w:val="none" w:sz="0" w:space="0" w:color="auto"/>
        <w:right w:val="none" w:sz="0" w:space="0" w:color="auto"/>
      </w:divBdr>
      <w:divsChild>
        <w:div w:id="497424294">
          <w:marLeft w:val="720"/>
          <w:marRight w:val="0"/>
          <w:marTop w:val="0"/>
          <w:marBottom w:val="360"/>
          <w:divBdr>
            <w:top w:val="none" w:sz="0" w:space="0" w:color="auto"/>
            <w:left w:val="none" w:sz="0" w:space="0" w:color="auto"/>
            <w:bottom w:val="none" w:sz="0" w:space="0" w:color="auto"/>
            <w:right w:val="none" w:sz="0" w:space="0" w:color="auto"/>
          </w:divBdr>
        </w:div>
        <w:div w:id="1122992027">
          <w:marLeft w:val="720"/>
          <w:marRight w:val="0"/>
          <w:marTop w:val="0"/>
          <w:marBottom w:val="360"/>
          <w:divBdr>
            <w:top w:val="none" w:sz="0" w:space="0" w:color="auto"/>
            <w:left w:val="none" w:sz="0" w:space="0" w:color="auto"/>
            <w:bottom w:val="none" w:sz="0" w:space="0" w:color="auto"/>
            <w:right w:val="none" w:sz="0" w:space="0" w:color="auto"/>
          </w:divBdr>
        </w:div>
        <w:div w:id="2086107800">
          <w:marLeft w:val="720"/>
          <w:marRight w:val="0"/>
          <w:marTop w:val="0"/>
          <w:marBottom w:val="360"/>
          <w:divBdr>
            <w:top w:val="none" w:sz="0" w:space="0" w:color="auto"/>
            <w:left w:val="none" w:sz="0" w:space="0" w:color="auto"/>
            <w:bottom w:val="none" w:sz="0" w:space="0" w:color="auto"/>
            <w:right w:val="none" w:sz="0" w:space="0" w:color="auto"/>
          </w:divBdr>
        </w:div>
      </w:divsChild>
    </w:div>
    <w:div w:id="1075738733">
      <w:bodyDiv w:val="1"/>
      <w:marLeft w:val="0"/>
      <w:marRight w:val="0"/>
      <w:marTop w:val="0"/>
      <w:marBottom w:val="0"/>
      <w:divBdr>
        <w:top w:val="none" w:sz="0" w:space="0" w:color="auto"/>
        <w:left w:val="none" w:sz="0" w:space="0" w:color="auto"/>
        <w:bottom w:val="none" w:sz="0" w:space="0" w:color="auto"/>
        <w:right w:val="none" w:sz="0" w:space="0" w:color="auto"/>
      </w:divBdr>
    </w:div>
    <w:div w:id="1472406612">
      <w:bodyDiv w:val="1"/>
      <w:marLeft w:val="0"/>
      <w:marRight w:val="0"/>
      <w:marTop w:val="0"/>
      <w:marBottom w:val="0"/>
      <w:divBdr>
        <w:top w:val="none" w:sz="0" w:space="0" w:color="auto"/>
        <w:left w:val="none" w:sz="0" w:space="0" w:color="auto"/>
        <w:bottom w:val="none" w:sz="0" w:space="0" w:color="auto"/>
        <w:right w:val="none" w:sz="0" w:space="0" w:color="auto"/>
      </w:divBdr>
    </w:div>
    <w:div w:id="1881085448">
      <w:bodyDiv w:val="1"/>
      <w:marLeft w:val="0"/>
      <w:marRight w:val="0"/>
      <w:marTop w:val="0"/>
      <w:marBottom w:val="0"/>
      <w:divBdr>
        <w:top w:val="none" w:sz="0" w:space="0" w:color="auto"/>
        <w:left w:val="none" w:sz="0" w:space="0" w:color="auto"/>
        <w:bottom w:val="none" w:sz="0" w:space="0" w:color="auto"/>
        <w:right w:val="none" w:sz="0" w:space="0" w:color="auto"/>
      </w:divBdr>
    </w:div>
    <w:div w:id="2069069701">
      <w:bodyDiv w:val="1"/>
      <w:marLeft w:val="0"/>
      <w:marRight w:val="0"/>
      <w:marTop w:val="0"/>
      <w:marBottom w:val="0"/>
      <w:divBdr>
        <w:top w:val="none" w:sz="0" w:space="0" w:color="auto"/>
        <w:left w:val="none" w:sz="0" w:space="0" w:color="auto"/>
        <w:bottom w:val="none" w:sz="0" w:space="0" w:color="auto"/>
        <w:right w:val="none" w:sz="0" w:space="0" w:color="auto"/>
      </w:divBdr>
      <w:divsChild>
        <w:div w:id="1428963409">
          <w:marLeft w:val="446"/>
          <w:marRight w:val="0"/>
          <w:marTop w:val="154"/>
          <w:marBottom w:val="384"/>
          <w:divBdr>
            <w:top w:val="none" w:sz="0" w:space="0" w:color="auto"/>
            <w:left w:val="none" w:sz="0" w:space="0" w:color="auto"/>
            <w:bottom w:val="none" w:sz="0" w:space="0" w:color="auto"/>
            <w:right w:val="none" w:sz="0" w:space="0" w:color="auto"/>
          </w:divBdr>
        </w:div>
        <w:div w:id="1985117004">
          <w:marLeft w:val="446"/>
          <w:marRight w:val="0"/>
          <w:marTop w:val="154"/>
          <w:marBottom w:val="384"/>
          <w:divBdr>
            <w:top w:val="none" w:sz="0" w:space="0" w:color="auto"/>
            <w:left w:val="none" w:sz="0" w:space="0" w:color="auto"/>
            <w:bottom w:val="none" w:sz="0" w:space="0" w:color="auto"/>
            <w:right w:val="none" w:sz="0" w:space="0" w:color="auto"/>
          </w:divBdr>
        </w:div>
        <w:div w:id="1056244778">
          <w:marLeft w:val="446"/>
          <w:marRight w:val="0"/>
          <w:marTop w:val="154"/>
          <w:marBottom w:val="384"/>
          <w:divBdr>
            <w:top w:val="none" w:sz="0" w:space="0" w:color="auto"/>
            <w:left w:val="none" w:sz="0" w:space="0" w:color="auto"/>
            <w:bottom w:val="none" w:sz="0" w:space="0" w:color="auto"/>
            <w:right w:val="none" w:sz="0" w:space="0" w:color="auto"/>
          </w:divBdr>
        </w:div>
        <w:div w:id="1464500010">
          <w:marLeft w:val="446"/>
          <w:marRight w:val="0"/>
          <w:marTop w:val="154"/>
          <w:marBottom w:val="384"/>
          <w:divBdr>
            <w:top w:val="none" w:sz="0" w:space="0" w:color="auto"/>
            <w:left w:val="none" w:sz="0" w:space="0" w:color="auto"/>
            <w:bottom w:val="none" w:sz="0" w:space="0" w:color="auto"/>
            <w:right w:val="none" w:sz="0" w:space="0" w:color="auto"/>
          </w:divBdr>
        </w:div>
        <w:div w:id="588781076">
          <w:marLeft w:val="446"/>
          <w:marRight w:val="0"/>
          <w:marTop w:val="154"/>
          <w:marBottom w:val="384"/>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deadata.org/docs/RevisedDisproportionalityTAguide_FINAL.pdf" TargetMode="External"/><Relationship Id="rId11" Type="http://schemas.openxmlformats.org/officeDocument/2006/relationships/fontTable" Target="fontTable.xml"/><Relationship Id="rId5" Type="http://schemas.openxmlformats.org/officeDocument/2006/relationships/hyperlink" Target="mailto:Emily.Klein@ride.ri.gov" TargetMode="Externa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222</TotalTime>
  <Pages>4</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Klein</dc:creator>
  <cp:keywords/>
  <dc:description/>
  <cp:lastModifiedBy>kleiem</cp:lastModifiedBy>
  <cp:revision>8</cp:revision>
  <cp:lastPrinted>2012-05-10T20:23:00Z</cp:lastPrinted>
  <dcterms:created xsi:type="dcterms:W3CDTF">2012-05-10T20:51:00Z</dcterms:created>
  <dcterms:modified xsi:type="dcterms:W3CDTF">2012-05-11T19:02:00Z</dcterms:modified>
</cp:coreProperties>
</file>