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0EAF" w:rsidRPr="007B0898" w:rsidRDefault="00890EAF" w:rsidP="00890EAF">
      <w:pPr>
        <w:pStyle w:val="Default"/>
        <w:jc w:val="center"/>
        <w:rPr>
          <w:b/>
          <w:bCs/>
          <w:color w:val="365F91"/>
          <w:sz w:val="32"/>
          <w:szCs w:val="32"/>
        </w:rPr>
      </w:pPr>
      <w:bookmarkStart w:id="0" w:name="_GoBack"/>
      <w:bookmarkEnd w:id="0"/>
      <w:r w:rsidRPr="007B0898">
        <w:rPr>
          <w:b/>
          <w:bCs/>
          <w:color w:val="365F91"/>
          <w:sz w:val="32"/>
          <w:szCs w:val="32"/>
        </w:rPr>
        <w:t>10 Things You Need to Know About Program Income</w:t>
      </w:r>
    </w:p>
    <w:p w:rsidR="00890EAF" w:rsidRDefault="00890EAF" w:rsidP="00890EAF">
      <w:pPr>
        <w:pStyle w:val="Default"/>
        <w:rPr>
          <w:b/>
          <w:bCs/>
          <w:color w:val="365F91"/>
          <w:sz w:val="28"/>
          <w:szCs w:val="28"/>
        </w:rPr>
      </w:pPr>
    </w:p>
    <w:p w:rsidR="00890EAF" w:rsidRDefault="00890EAF" w:rsidP="00890EAF">
      <w:pPr>
        <w:pStyle w:val="Default"/>
        <w:rPr>
          <w:color w:val="365F91"/>
          <w:sz w:val="28"/>
          <w:szCs w:val="28"/>
        </w:rPr>
      </w:pPr>
    </w:p>
    <w:p w:rsidR="004C6C77" w:rsidRDefault="00890EAF" w:rsidP="004C6C77">
      <w:pPr>
        <w:autoSpaceDE w:val="0"/>
        <w:autoSpaceDN w:val="0"/>
        <w:adjustRightInd w:val="0"/>
        <w:spacing w:after="0" w:line="240" w:lineRule="auto"/>
        <w:rPr>
          <w:rFonts w:ascii="Calibri" w:hAnsi="Calibri" w:cs="Calibri"/>
          <w:bCs/>
          <w:color w:val="4E3A2F"/>
        </w:rPr>
      </w:pPr>
      <w:r w:rsidRPr="001E6C92">
        <w:rPr>
          <w:rFonts w:ascii="Calibri" w:hAnsi="Calibri" w:cs="Calibri"/>
        </w:rPr>
        <w:t xml:space="preserve">1. Program income is defined by EDGAR in 34 CFR 80.25 (b) as “gross income received by the grantee or </w:t>
      </w:r>
      <w:r w:rsidR="00CE35B1" w:rsidRPr="001E6C92">
        <w:rPr>
          <w:rFonts w:ascii="Calibri" w:hAnsi="Calibri" w:cs="Calibri"/>
        </w:rPr>
        <w:t>sub grantee</w:t>
      </w:r>
      <w:r w:rsidRPr="001E6C92">
        <w:rPr>
          <w:rFonts w:ascii="Calibri" w:hAnsi="Calibri" w:cs="Calibri"/>
        </w:rPr>
        <w:t xml:space="preserve"> directly generated by a grant supported activity, or earned only as a result of the grant agreement during the grant period.” </w:t>
      </w:r>
      <w:r w:rsidR="004C6C77" w:rsidRPr="001E6C92">
        <w:rPr>
          <w:rFonts w:ascii="Calibri" w:hAnsi="Calibri" w:cs="Calibri"/>
          <w:bCs/>
        </w:rPr>
        <w:t>Program Income = fees charged to students to defray program costs.</w:t>
      </w:r>
      <w:r w:rsidR="004F1E53">
        <w:rPr>
          <w:rFonts w:ascii="Calibri" w:hAnsi="Calibri" w:cs="Calibri"/>
          <w:bCs/>
        </w:rPr>
        <w:t xml:space="preserve">                                                                                                                                                                                 Applicable sections of EDGAR, Title 34 Code of Federal Regulations can be found here</w:t>
      </w:r>
      <w:r w:rsidR="005342BB">
        <w:rPr>
          <w:rFonts w:ascii="Calibri" w:hAnsi="Calibri" w:cs="Calibri"/>
          <w:bCs/>
        </w:rPr>
        <w:t xml:space="preserve"> (click on 80)</w:t>
      </w:r>
      <w:r w:rsidR="004F1E53">
        <w:rPr>
          <w:rFonts w:ascii="Calibri" w:hAnsi="Calibri" w:cs="Calibri"/>
          <w:bCs/>
        </w:rPr>
        <w:t>:</w:t>
      </w:r>
      <w:r w:rsidR="004C6C77" w:rsidRPr="001E6C92">
        <w:rPr>
          <w:rFonts w:ascii="Calibri" w:hAnsi="Calibri" w:cs="Calibri"/>
          <w:bCs/>
          <w:color w:val="4E3A2F"/>
        </w:rPr>
        <w:t xml:space="preserve"> </w:t>
      </w:r>
      <w:hyperlink r:id="rId5" w:history="1">
        <w:r w:rsidR="004F1E53" w:rsidRPr="00325433">
          <w:rPr>
            <w:rStyle w:val="Hyperlink"/>
            <w:rFonts w:ascii="Calibri" w:hAnsi="Calibri" w:cs="Calibri"/>
            <w:bCs/>
          </w:rPr>
          <w:t>http://www2.ed.gov/policy/fund/reg/edgarReg/edgar.html</w:t>
        </w:r>
      </w:hyperlink>
    </w:p>
    <w:p w:rsidR="004C6C77" w:rsidRPr="001E6C92" w:rsidRDefault="004C6C77" w:rsidP="004C6C77">
      <w:pPr>
        <w:pStyle w:val="Default"/>
        <w:rPr>
          <w:rFonts w:ascii="Calibri" w:hAnsi="Calibri" w:cs="Calibri"/>
          <w:color w:val="4E3A2F"/>
          <w:sz w:val="22"/>
          <w:szCs w:val="22"/>
        </w:rPr>
      </w:pPr>
    </w:p>
    <w:p w:rsidR="00890EAF" w:rsidRPr="001E6C92" w:rsidRDefault="00890EAF" w:rsidP="004C6C77">
      <w:pPr>
        <w:pStyle w:val="Default"/>
        <w:rPr>
          <w:rFonts w:ascii="Calibri" w:hAnsi="Calibri" w:cs="Calibri"/>
          <w:sz w:val="22"/>
          <w:szCs w:val="22"/>
        </w:rPr>
      </w:pPr>
      <w:r w:rsidRPr="001E6C92">
        <w:rPr>
          <w:rFonts w:ascii="Calibri" w:hAnsi="Calibri" w:cs="Calibri"/>
          <w:sz w:val="22"/>
          <w:szCs w:val="22"/>
        </w:rPr>
        <w:t xml:space="preserve">2. Collected fees and tuition must be used to assist adult students in becoming literate, obtaining knowledge and skills necessary for employment and self-sufficiency, obtaining the education skills necessary to become full partners in their child’s education, and completing their secondary school education (AEFLA Section 202). </w:t>
      </w:r>
      <w:r w:rsidR="0045595D" w:rsidRPr="001E6C92">
        <w:rPr>
          <w:rFonts w:ascii="Calibri" w:hAnsi="Calibri" w:cs="Calibri"/>
          <w:bCs/>
          <w:sz w:val="22"/>
          <w:szCs w:val="22"/>
        </w:rPr>
        <w:t>They are not grant funds, but maintain same characteristics.</w:t>
      </w:r>
    </w:p>
    <w:p w:rsidR="004C6C77" w:rsidRPr="001E6C92" w:rsidRDefault="004C6C77" w:rsidP="004C6C77">
      <w:pPr>
        <w:pStyle w:val="Default"/>
        <w:rPr>
          <w:rFonts w:ascii="Calibri" w:hAnsi="Calibri" w:cs="Calibri"/>
          <w:sz w:val="22"/>
          <w:szCs w:val="22"/>
        </w:rPr>
      </w:pPr>
    </w:p>
    <w:p w:rsidR="00890EAF" w:rsidRPr="000A2E4F" w:rsidRDefault="00890EAF" w:rsidP="000A2E4F">
      <w:pPr>
        <w:autoSpaceDE w:val="0"/>
        <w:autoSpaceDN w:val="0"/>
        <w:adjustRightInd w:val="0"/>
        <w:spacing w:after="0" w:line="240" w:lineRule="auto"/>
        <w:rPr>
          <w:rFonts w:ascii="Times New Roman" w:hAnsi="Times New Roman" w:cs="Times New Roman"/>
          <w:sz w:val="24"/>
          <w:szCs w:val="24"/>
        </w:rPr>
      </w:pPr>
      <w:r w:rsidRPr="001E6C92">
        <w:rPr>
          <w:rFonts w:ascii="Calibri" w:hAnsi="Calibri" w:cs="Calibri"/>
        </w:rPr>
        <w:t>3. Using special language in the</w:t>
      </w:r>
      <w:r w:rsidR="00D3794E" w:rsidRPr="001E6C92">
        <w:rPr>
          <w:rFonts w:ascii="Calibri" w:hAnsi="Calibri" w:cs="Calibri"/>
        </w:rPr>
        <w:t xml:space="preserve"> state’s</w:t>
      </w:r>
      <w:r w:rsidRPr="001E6C92">
        <w:rPr>
          <w:rFonts w:ascii="Calibri" w:hAnsi="Calibri" w:cs="Calibri"/>
        </w:rPr>
        <w:t xml:space="preserve"> annual grant award, OVAE has allowed states to use the “addition” option des</w:t>
      </w:r>
      <w:r w:rsidR="00D87EB9" w:rsidRPr="001E6C92">
        <w:rPr>
          <w:rFonts w:ascii="Calibri" w:hAnsi="Calibri" w:cs="Calibri"/>
        </w:rPr>
        <w:t>cribed in 34 CFR 80.25 (g)(2). This means that program income</w:t>
      </w:r>
      <w:r w:rsidRPr="001E6C92">
        <w:rPr>
          <w:rFonts w:ascii="Calibri" w:hAnsi="Calibri" w:cs="Calibri"/>
        </w:rPr>
        <w:t xml:space="preserve"> earned may be added to the grant</w:t>
      </w:r>
      <w:r w:rsidR="00D87EB9" w:rsidRPr="001E6C92">
        <w:rPr>
          <w:rFonts w:ascii="Calibri" w:hAnsi="Calibri" w:cs="Calibri"/>
        </w:rPr>
        <w:t xml:space="preserve"> allocation</w:t>
      </w:r>
      <w:r w:rsidR="000C1A56" w:rsidRPr="001E6C92">
        <w:rPr>
          <w:rFonts w:ascii="Calibri" w:hAnsi="Calibri" w:cs="Calibri"/>
        </w:rPr>
        <w:t xml:space="preserve"> </w:t>
      </w:r>
      <w:r w:rsidRPr="001E6C92">
        <w:rPr>
          <w:rFonts w:ascii="Calibri" w:hAnsi="Calibri" w:cs="Calibri"/>
        </w:rPr>
        <w:t xml:space="preserve">and “used for the purposes and under the conditions of the grant agreement.” </w:t>
      </w:r>
      <w:r w:rsidR="00D87EB9" w:rsidRPr="001E6C92">
        <w:rPr>
          <w:rFonts w:ascii="Calibri" w:hAnsi="Calibri" w:cs="Calibri"/>
          <w:b/>
        </w:rPr>
        <w:t>Earning</w:t>
      </w:r>
      <w:r w:rsidR="00FD5D43" w:rsidRPr="001E6C92">
        <w:rPr>
          <w:rFonts w:ascii="Calibri" w:hAnsi="Calibri" w:cs="Calibri"/>
          <w:b/>
        </w:rPr>
        <w:t xml:space="preserve"> p</w:t>
      </w:r>
      <w:r w:rsidR="00EB46DB" w:rsidRPr="001E6C92">
        <w:rPr>
          <w:rFonts w:ascii="Calibri" w:hAnsi="Calibri" w:cs="Calibri"/>
          <w:b/>
        </w:rPr>
        <w:t xml:space="preserve">rogram income </w:t>
      </w:r>
      <w:r w:rsidR="00EB46DB" w:rsidRPr="001E6C92">
        <w:rPr>
          <w:rFonts w:ascii="Calibri" w:hAnsi="Calibri" w:cs="Calibri"/>
          <w:b/>
          <w:u w:val="single"/>
        </w:rPr>
        <w:t xml:space="preserve">does </w:t>
      </w:r>
      <w:r w:rsidR="00FD5D43" w:rsidRPr="001E6C92">
        <w:rPr>
          <w:rFonts w:ascii="Calibri" w:hAnsi="Calibri" w:cs="Calibri"/>
          <w:b/>
          <w:u w:val="single"/>
        </w:rPr>
        <w:t>not</w:t>
      </w:r>
      <w:r w:rsidR="00FD5D43" w:rsidRPr="001E6C92">
        <w:rPr>
          <w:rFonts w:ascii="Calibri" w:hAnsi="Calibri" w:cs="Calibri"/>
          <w:b/>
        </w:rPr>
        <w:t xml:space="preserve"> </w:t>
      </w:r>
      <w:r w:rsidR="00EB46DB" w:rsidRPr="001E6C92">
        <w:rPr>
          <w:rFonts w:ascii="Calibri" w:hAnsi="Calibri" w:cs="Calibri"/>
          <w:b/>
        </w:rPr>
        <w:t>reduce the program’s annual adult education allocation.</w:t>
      </w:r>
      <w:r w:rsidR="000A2E4F" w:rsidRPr="000A2E4F">
        <w:rPr>
          <w:rFonts w:ascii="Times New Roman" w:hAnsi="Times New Roman" w:cs="Times New Roman"/>
          <w:sz w:val="24"/>
          <w:szCs w:val="24"/>
        </w:rPr>
        <w:t xml:space="preserve"> </w:t>
      </w:r>
    </w:p>
    <w:p w:rsidR="00890EAF" w:rsidRPr="001E6C92" w:rsidRDefault="00890EAF" w:rsidP="00890EAF">
      <w:pPr>
        <w:pStyle w:val="Default"/>
        <w:rPr>
          <w:rFonts w:ascii="Calibri" w:hAnsi="Calibri" w:cs="Calibri"/>
          <w:sz w:val="22"/>
          <w:szCs w:val="22"/>
        </w:rPr>
      </w:pPr>
    </w:p>
    <w:p w:rsidR="00890EAF" w:rsidRPr="000A2E4F" w:rsidRDefault="00890EAF" w:rsidP="004C6C77">
      <w:pPr>
        <w:autoSpaceDE w:val="0"/>
        <w:autoSpaceDN w:val="0"/>
        <w:adjustRightInd w:val="0"/>
        <w:spacing w:after="171" w:line="240" w:lineRule="auto"/>
        <w:rPr>
          <w:rFonts w:ascii="Calibri" w:hAnsi="Calibri" w:cs="Calibri"/>
          <w:b/>
        </w:rPr>
      </w:pPr>
      <w:r w:rsidRPr="001E6C92">
        <w:rPr>
          <w:rFonts w:ascii="Calibri" w:hAnsi="Calibri" w:cs="Calibri"/>
        </w:rPr>
        <w:t xml:space="preserve">4. Local providers charging fees must use the program income generated for </w:t>
      </w:r>
      <w:r w:rsidRPr="001E6C92">
        <w:rPr>
          <w:rFonts w:ascii="Calibri" w:hAnsi="Calibri" w:cs="Calibri"/>
          <w:b/>
          <w:u w:val="single"/>
        </w:rPr>
        <w:t>allowable</w:t>
      </w:r>
      <w:r w:rsidRPr="001E6C92">
        <w:rPr>
          <w:rFonts w:ascii="Calibri" w:hAnsi="Calibri" w:cs="Calibri"/>
        </w:rPr>
        <w:t xml:space="preserve"> </w:t>
      </w:r>
      <w:r w:rsidR="004C6C77" w:rsidRPr="001E6C92">
        <w:rPr>
          <w:rFonts w:ascii="Calibri" w:hAnsi="Calibri" w:cs="Calibri"/>
        </w:rPr>
        <w:t xml:space="preserve">activities and </w:t>
      </w:r>
      <w:r w:rsidRPr="001E6C92">
        <w:rPr>
          <w:rFonts w:ascii="Calibri" w:hAnsi="Calibri" w:cs="Calibri"/>
        </w:rPr>
        <w:t>costs, expanding available resources for adult education, workplace literacy, English language acquisition and adult secondary education.</w:t>
      </w:r>
      <w:r w:rsidR="000A2E4F">
        <w:rPr>
          <w:rFonts w:ascii="Calibri" w:hAnsi="Calibri" w:cs="Calibri"/>
        </w:rPr>
        <w:t xml:space="preserve"> </w:t>
      </w:r>
      <w:r w:rsidR="000A2E4F">
        <w:rPr>
          <w:rFonts w:ascii="Calibri" w:hAnsi="Calibri" w:cs="Calibri"/>
          <w:b/>
        </w:rPr>
        <w:t>Note</w:t>
      </w:r>
      <w:r w:rsidR="000A2E4F" w:rsidRPr="000A2E4F">
        <w:rPr>
          <w:rFonts w:ascii="Calibri" w:hAnsi="Calibri" w:cs="Calibri"/>
          <w:b/>
        </w:rPr>
        <w:t xml:space="preserve">: program </w:t>
      </w:r>
      <w:r w:rsidR="004C6C77" w:rsidRPr="000A2E4F">
        <w:rPr>
          <w:rFonts w:ascii="Calibri" w:hAnsi="Calibri" w:cs="Calibri"/>
          <w:b/>
          <w:bCs/>
        </w:rPr>
        <w:t xml:space="preserve">income </w:t>
      </w:r>
      <w:r w:rsidR="004C6C77" w:rsidRPr="000A2E4F">
        <w:rPr>
          <w:rFonts w:ascii="Calibri" w:hAnsi="Calibri" w:cs="Calibri"/>
          <w:b/>
          <w:bCs/>
          <w:u w:val="single"/>
        </w:rPr>
        <w:t xml:space="preserve">cannot </w:t>
      </w:r>
      <w:r w:rsidR="001505C2">
        <w:rPr>
          <w:rFonts w:ascii="Calibri" w:hAnsi="Calibri" w:cs="Calibri"/>
          <w:b/>
          <w:bCs/>
        </w:rPr>
        <w:t xml:space="preserve">be used </w:t>
      </w:r>
      <w:r w:rsidR="00B93782">
        <w:rPr>
          <w:rFonts w:ascii="Calibri" w:hAnsi="Calibri" w:cs="Calibri"/>
          <w:b/>
          <w:bCs/>
        </w:rPr>
        <w:t>for refreshments</w:t>
      </w:r>
      <w:r w:rsidR="004C6C77" w:rsidRPr="000A2E4F">
        <w:rPr>
          <w:rFonts w:ascii="Calibri" w:hAnsi="Calibri" w:cs="Calibri"/>
          <w:b/>
          <w:bCs/>
        </w:rPr>
        <w:t xml:space="preserve">. </w:t>
      </w:r>
    </w:p>
    <w:p w:rsidR="00890EAF" w:rsidRPr="001E6C92" w:rsidRDefault="00890EAF" w:rsidP="00890EAF">
      <w:pPr>
        <w:pStyle w:val="Default"/>
        <w:spacing w:after="169"/>
        <w:rPr>
          <w:rFonts w:ascii="Calibri" w:hAnsi="Calibri" w:cs="Calibri"/>
          <w:sz w:val="22"/>
          <w:szCs w:val="22"/>
        </w:rPr>
      </w:pPr>
      <w:r w:rsidRPr="001E6C92">
        <w:rPr>
          <w:rFonts w:ascii="Calibri" w:hAnsi="Calibri" w:cs="Calibri"/>
          <w:sz w:val="22"/>
          <w:szCs w:val="22"/>
        </w:rPr>
        <w:t xml:space="preserve">5. OVAE’s language in the </w:t>
      </w:r>
      <w:r w:rsidR="00D3794E" w:rsidRPr="001E6C92">
        <w:rPr>
          <w:rFonts w:ascii="Calibri" w:hAnsi="Calibri" w:cs="Calibri"/>
          <w:sz w:val="22"/>
          <w:szCs w:val="22"/>
        </w:rPr>
        <w:t xml:space="preserve">state’s annual </w:t>
      </w:r>
      <w:r w:rsidRPr="001E6C92">
        <w:rPr>
          <w:rFonts w:ascii="Calibri" w:hAnsi="Calibri" w:cs="Calibri"/>
          <w:sz w:val="22"/>
          <w:szCs w:val="22"/>
        </w:rPr>
        <w:t xml:space="preserve">grant award requires fees established by states or local programs to be necessary and </w:t>
      </w:r>
      <w:r w:rsidRPr="001E6C92">
        <w:rPr>
          <w:rFonts w:ascii="Calibri" w:hAnsi="Calibri" w:cs="Calibri"/>
          <w:b/>
          <w:sz w:val="22"/>
          <w:szCs w:val="22"/>
          <w:u w:val="single"/>
        </w:rPr>
        <w:t>reasonable</w:t>
      </w:r>
      <w:r w:rsidRPr="001E6C92">
        <w:rPr>
          <w:rFonts w:ascii="Calibri" w:hAnsi="Calibri" w:cs="Calibri"/>
          <w:sz w:val="22"/>
          <w:szCs w:val="22"/>
          <w:u w:val="single"/>
        </w:rPr>
        <w:t xml:space="preserve"> </w:t>
      </w:r>
      <w:r w:rsidRPr="001E6C92">
        <w:rPr>
          <w:rFonts w:ascii="Calibri" w:hAnsi="Calibri" w:cs="Calibri"/>
          <w:sz w:val="22"/>
          <w:szCs w:val="22"/>
        </w:rPr>
        <w:t xml:space="preserve">and not impose a barrier to the participation of disadvantaged persons that the program was designed to serve. Fee structures for adult education shall take into account the ability of the student who participates in adult education to pay the fees. </w:t>
      </w:r>
    </w:p>
    <w:p w:rsidR="00890EAF" w:rsidRPr="001E6C92" w:rsidRDefault="00890EAF" w:rsidP="00890EAF">
      <w:pPr>
        <w:pStyle w:val="Default"/>
        <w:spacing w:after="169"/>
        <w:rPr>
          <w:rFonts w:ascii="Calibri" w:hAnsi="Calibri" w:cs="Calibri"/>
          <w:sz w:val="22"/>
          <w:szCs w:val="22"/>
        </w:rPr>
      </w:pPr>
      <w:r w:rsidRPr="001E6C92">
        <w:rPr>
          <w:rFonts w:ascii="Calibri" w:hAnsi="Calibri" w:cs="Calibri"/>
          <w:sz w:val="22"/>
          <w:szCs w:val="22"/>
        </w:rPr>
        <w:t xml:space="preserve">6. 34 CFR 76.534 </w:t>
      </w:r>
      <w:r w:rsidRPr="004F1E53">
        <w:rPr>
          <w:rFonts w:ascii="Calibri" w:hAnsi="Calibri" w:cs="Calibri"/>
          <w:b/>
          <w:sz w:val="22"/>
          <w:szCs w:val="22"/>
          <w:u w:val="single"/>
        </w:rPr>
        <w:t xml:space="preserve">prohibits </w:t>
      </w:r>
      <w:r w:rsidRPr="001E6C92">
        <w:rPr>
          <w:rFonts w:ascii="Calibri" w:hAnsi="Calibri" w:cs="Calibri"/>
          <w:sz w:val="22"/>
          <w:szCs w:val="22"/>
        </w:rPr>
        <w:t xml:space="preserve">state or local programs from counting “tuition and fees collected from students toward meeting </w:t>
      </w:r>
      <w:r w:rsidRPr="00A61BB9">
        <w:rPr>
          <w:rFonts w:ascii="Calibri" w:hAnsi="Calibri" w:cs="Calibri"/>
          <w:b/>
          <w:sz w:val="22"/>
          <w:szCs w:val="22"/>
          <w:u w:val="single"/>
        </w:rPr>
        <w:t>matching</w:t>
      </w:r>
      <w:r w:rsidRPr="001E6C92">
        <w:rPr>
          <w:rFonts w:ascii="Calibri" w:hAnsi="Calibri" w:cs="Calibri"/>
          <w:sz w:val="22"/>
          <w:szCs w:val="22"/>
        </w:rPr>
        <w:t xml:space="preserve">, cost-sharing or maintenance of effort requirements of a program.” </w:t>
      </w:r>
    </w:p>
    <w:p w:rsidR="00084B7D" w:rsidRPr="001E6C92" w:rsidRDefault="00890EAF" w:rsidP="00890EAF">
      <w:pPr>
        <w:pStyle w:val="Default"/>
        <w:spacing w:after="169"/>
        <w:rPr>
          <w:rFonts w:ascii="Calibri" w:hAnsi="Calibri" w:cs="Calibri"/>
          <w:sz w:val="22"/>
          <w:szCs w:val="22"/>
        </w:rPr>
      </w:pPr>
      <w:r w:rsidRPr="001E6C92">
        <w:rPr>
          <w:rFonts w:ascii="Calibri" w:hAnsi="Calibri" w:cs="Calibri"/>
          <w:sz w:val="22"/>
          <w:szCs w:val="22"/>
        </w:rPr>
        <w:t xml:space="preserve">7. The collection of fees and tuition cannot be reported as part of the program’s general funds, as they are restricted and must be reported and used directly by adult education programs to provide </w:t>
      </w:r>
      <w:r w:rsidRPr="009639CF">
        <w:rPr>
          <w:rFonts w:ascii="Calibri" w:hAnsi="Calibri" w:cs="Calibri"/>
          <w:b/>
          <w:sz w:val="22"/>
          <w:szCs w:val="22"/>
          <w:u w:val="single"/>
        </w:rPr>
        <w:t>additional</w:t>
      </w:r>
      <w:r w:rsidRPr="001E6C92">
        <w:rPr>
          <w:rFonts w:ascii="Calibri" w:hAnsi="Calibri" w:cs="Calibri"/>
          <w:sz w:val="22"/>
          <w:szCs w:val="22"/>
        </w:rPr>
        <w:t xml:space="preserve"> adult education and literacy services that the program would otherwise be unable to provide (34</w:t>
      </w:r>
      <w:r w:rsidR="00EB46DB" w:rsidRPr="001E6C92">
        <w:rPr>
          <w:rFonts w:ascii="Calibri" w:hAnsi="Calibri" w:cs="Calibri"/>
          <w:sz w:val="22"/>
          <w:szCs w:val="22"/>
        </w:rPr>
        <w:t xml:space="preserve"> CFR</w:t>
      </w:r>
      <w:r w:rsidRPr="001E6C92">
        <w:rPr>
          <w:rFonts w:ascii="Calibri" w:hAnsi="Calibri" w:cs="Calibri"/>
          <w:sz w:val="22"/>
          <w:szCs w:val="22"/>
        </w:rPr>
        <w:t xml:space="preserve"> 80.25 –AEFLA section 202). </w:t>
      </w:r>
    </w:p>
    <w:p w:rsidR="004C6C77" w:rsidRPr="001E6C92" w:rsidRDefault="00890EAF" w:rsidP="00890EAF">
      <w:pPr>
        <w:pStyle w:val="Default"/>
        <w:spacing w:after="169"/>
        <w:rPr>
          <w:rFonts w:ascii="Calibri" w:hAnsi="Calibri" w:cs="Calibri"/>
          <w:b/>
          <w:sz w:val="22"/>
          <w:szCs w:val="22"/>
        </w:rPr>
      </w:pPr>
      <w:r w:rsidRPr="001E6C92">
        <w:rPr>
          <w:rFonts w:ascii="Calibri" w:hAnsi="Calibri" w:cs="Calibri"/>
          <w:sz w:val="22"/>
          <w:szCs w:val="22"/>
        </w:rPr>
        <w:t xml:space="preserve">8. The local program chief executive officer (CEO) </w:t>
      </w:r>
      <w:r w:rsidR="004F1E53">
        <w:rPr>
          <w:rFonts w:ascii="Calibri" w:hAnsi="Calibri" w:cs="Calibri"/>
          <w:sz w:val="22"/>
          <w:szCs w:val="22"/>
        </w:rPr>
        <w:t xml:space="preserve">or program </w:t>
      </w:r>
      <w:r w:rsidRPr="001E6C92">
        <w:rPr>
          <w:rFonts w:ascii="Calibri" w:hAnsi="Calibri" w:cs="Calibri"/>
          <w:sz w:val="22"/>
          <w:szCs w:val="22"/>
        </w:rPr>
        <w:t>administrator will be responsible to acknowledge by signature the program assurances as part of the program’s grant plan submission – that all fees and tuition collected and submitted for accounting purposes are returned/delegated (with the exception of state-approved indirect costs) to the local adult education program to be used solely and specifically for adult education programming and not withheld and maintained in a general maintenance and operation fund or used for any other funding purpose.</w:t>
      </w:r>
      <w:r w:rsidR="00084B7D" w:rsidRPr="001E6C92">
        <w:rPr>
          <w:rFonts w:ascii="Calibri" w:hAnsi="Calibri" w:cs="Calibri"/>
          <w:b/>
          <w:sz w:val="22"/>
          <w:szCs w:val="22"/>
        </w:rPr>
        <w:t xml:space="preserve"> Program income cannot be maintained in any interest-bearing account.</w:t>
      </w:r>
    </w:p>
    <w:p w:rsidR="004C6C77" w:rsidRPr="001E6C92" w:rsidRDefault="00890EAF" w:rsidP="004C6C77">
      <w:pPr>
        <w:autoSpaceDE w:val="0"/>
        <w:autoSpaceDN w:val="0"/>
        <w:adjustRightInd w:val="0"/>
        <w:spacing w:after="171" w:line="240" w:lineRule="auto"/>
        <w:rPr>
          <w:rFonts w:ascii="Calibri" w:hAnsi="Calibri" w:cs="Calibri"/>
          <w:bCs/>
        </w:rPr>
      </w:pPr>
      <w:r w:rsidRPr="001E6C92">
        <w:rPr>
          <w:rFonts w:ascii="Calibri" w:hAnsi="Calibri" w:cs="Calibri"/>
        </w:rPr>
        <w:t xml:space="preserve">9. </w:t>
      </w:r>
      <w:r w:rsidR="004C6C77" w:rsidRPr="001E6C92">
        <w:rPr>
          <w:rFonts w:ascii="Calibri" w:hAnsi="Calibri" w:cs="Calibri"/>
          <w:bCs/>
        </w:rPr>
        <w:t xml:space="preserve">Program </w:t>
      </w:r>
      <w:r w:rsidR="00D87EB9" w:rsidRPr="001E6C92">
        <w:rPr>
          <w:rFonts w:ascii="Calibri" w:hAnsi="Calibri" w:cs="Calibri"/>
          <w:bCs/>
        </w:rPr>
        <w:t xml:space="preserve">income must be reported to RIDE as indicated on the FSR/CRF (Financial Status Report-Cash Reimbursement Form) submitted to RIDE’s fiscal </w:t>
      </w:r>
      <w:r w:rsidR="000C1A56" w:rsidRPr="001E6C92">
        <w:rPr>
          <w:rFonts w:ascii="Calibri" w:hAnsi="Calibri" w:cs="Calibri"/>
          <w:bCs/>
        </w:rPr>
        <w:t>office.</w:t>
      </w:r>
      <w:r w:rsidR="000A2E4F">
        <w:rPr>
          <w:rFonts w:ascii="Calibri" w:hAnsi="Calibri" w:cs="Calibri"/>
          <w:bCs/>
        </w:rPr>
        <w:t xml:space="preserve">  Reimbursement requests are required to be submitted to the RIDE, at a minimum, on a quarterly basis.</w:t>
      </w:r>
    </w:p>
    <w:p w:rsidR="00EB46DB" w:rsidRPr="001E6C92" w:rsidRDefault="004C6C77" w:rsidP="00EB46DB">
      <w:pPr>
        <w:autoSpaceDE w:val="0"/>
        <w:autoSpaceDN w:val="0"/>
        <w:adjustRightInd w:val="0"/>
        <w:spacing w:after="171" w:line="240" w:lineRule="auto"/>
        <w:rPr>
          <w:rFonts w:ascii="Calibri" w:hAnsi="Calibri" w:cs="Calibri"/>
        </w:rPr>
      </w:pPr>
      <w:r w:rsidRPr="001E6C92">
        <w:rPr>
          <w:rFonts w:ascii="Calibri" w:hAnsi="Calibri" w:cs="Calibri"/>
        </w:rPr>
        <w:t xml:space="preserve">10. </w:t>
      </w:r>
      <w:r w:rsidR="00890EAF" w:rsidRPr="001E6C92">
        <w:rPr>
          <w:rFonts w:ascii="Calibri" w:hAnsi="Calibri" w:cs="Calibri"/>
        </w:rPr>
        <w:t xml:space="preserve">Tuition and fees generated in the current fiscal year must be spent in the adult education program in the year generated or, at the latest, during the ensuing program year. </w:t>
      </w:r>
    </w:p>
    <w:p w:rsidR="00EB46DB" w:rsidRDefault="00EB46DB" w:rsidP="00EB46DB">
      <w:pPr>
        <w:autoSpaceDE w:val="0"/>
        <w:autoSpaceDN w:val="0"/>
        <w:adjustRightInd w:val="0"/>
        <w:spacing w:after="171" w:line="240" w:lineRule="auto"/>
        <w:rPr>
          <w:rFonts w:ascii="Calibri" w:hAnsi="Calibri" w:cs="Calibri"/>
          <w:b/>
          <w:sz w:val="18"/>
          <w:szCs w:val="18"/>
        </w:rPr>
      </w:pPr>
    </w:p>
    <w:p w:rsidR="00EB46DB" w:rsidRPr="00EB46DB" w:rsidRDefault="00815B2D" w:rsidP="00EB46DB">
      <w:pPr>
        <w:autoSpaceDE w:val="0"/>
        <w:autoSpaceDN w:val="0"/>
        <w:adjustRightInd w:val="0"/>
        <w:spacing w:after="171" w:line="240" w:lineRule="auto"/>
        <w:rPr>
          <w:rFonts w:ascii="Calibri" w:hAnsi="Calibri" w:cs="Calibri"/>
          <w:sz w:val="23"/>
          <w:szCs w:val="23"/>
        </w:rPr>
      </w:pPr>
      <w:r>
        <w:rPr>
          <w:rFonts w:ascii="Calibri" w:hAnsi="Calibri" w:cs="Calibri"/>
          <w:b/>
          <w:sz w:val="18"/>
          <w:szCs w:val="18"/>
        </w:rPr>
        <w:t>Novemb</w:t>
      </w:r>
      <w:r w:rsidR="005342BB">
        <w:rPr>
          <w:rFonts w:ascii="Calibri" w:hAnsi="Calibri" w:cs="Calibri"/>
          <w:b/>
          <w:sz w:val="18"/>
          <w:szCs w:val="18"/>
        </w:rPr>
        <w:t>er 18</w:t>
      </w:r>
      <w:r w:rsidR="00EB46DB" w:rsidRPr="00EB46DB">
        <w:rPr>
          <w:rFonts w:ascii="Calibri" w:hAnsi="Calibri" w:cs="Calibri"/>
          <w:b/>
          <w:sz w:val="18"/>
          <w:szCs w:val="18"/>
        </w:rPr>
        <w:t>, 2013</w:t>
      </w:r>
    </w:p>
    <w:sectPr w:rsidR="00EB46DB" w:rsidRPr="00EB46DB" w:rsidSect="000C1A56">
      <w:pgSz w:w="12240" w:h="15840"/>
      <w:pgMar w:top="540" w:right="1440" w:bottom="27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0EAF"/>
    <w:rsid w:val="00061F7E"/>
    <w:rsid w:val="00084B7D"/>
    <w:rsid w:val="000970FC"/>
    <w:rsid w:val="000A2E4F"/>
    <w:rsid w:val="000C1A56"/>
    <w:rsid w:val="001505C2"/>
    <w:rsid w:val="0017264E"/>
    <w:rsid w:val="001E6C92"/>
    <w:rsid w:val="0045595D"/>
    <w:rsid w:val="004C6C77"/>
    <w:rsid w:val="004F1E53"/>
    <w:rsid w:val="004F297A"/>
    <w:rsid w:val="005342BB"/>
    <w:rsid w:val="00740ABA"/>
    <w:rsid w:val="00815B2D"/>
    <w:rsid w:val="00890EAF"/>
    <w:rsid w:val="009639CF"/>
    <w:rsid w:val="00A61BB9"/>
    <w:rsid w:val="00B93782"/>
    <w:rsid w:val="00C35F3D"/>
    <w:rsid w:val="00C552D5"/>
    <w:rsid w:val="00CE35B1"/>
    <w:rsid w:val="00D3794E"/>
    <w:rsid w:val="00D87EB9"/>
    <w:rsid w:val="00EB46DB"/>
    <w:rsid w:val="00FD5D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90EAF"/>
    <w:pPr>
      <w:autoSpaceDE w:val="0"/>
      <w:autoSpaceDN w:val="0"/>
      <w:adjustRightInd w:val="0"/>
      <w:spacing w:after="0" w:line="240" w:lineRule="auto"/>
    </w:pPr>
    <w:rPr>
      <w:rFonts w:ascii="Cambria" w:hAnsi="Cambria" w:cs="Cambria"/>
      <w:color w:val="000000"/>
      <w:sz w:val="24"/>
      <w:szCs w:val="24"/>
    </w:rPr>
  </w:style>
  <w:style w:type="paragraph" w:styleId="ListParagraph">
    <w:name w:val="List Paragraph"/>
    <w:basedOn w:val="Normal"/>
    <w:uiPriority w:val="34"/>
    <w:qFormat/>
    <w:rsid w:val="004F1E53"/>
    <w:pPr>
      <w:ind w:left="720"/>
      <w:contextualSpacing/>
    </w:pPr>
  </w:style>
  <w:style w:type="character" w:styleId="Hyperlink">
    <w:name w:val="Hyperlink"/>
    <w:basedOn w:val="DefaultParagraphFont"/>
    <w:uiPriority w:val="99"/>
    <w:unhideWhenUsed/>
    <w:rsid w:val="004F1E53"/>
    <w:rPr>
      <w:color w:val="0000FF" w:themeColor="hyperlink"/>
      <w:u w:val="single"/>
    </w:rPr>
  </w:style>
  <w:style w:type="paragraph" w:styleId="BalloonText">
    <w:name w:val="Balloon Text"/>
    <w:basedOn w:val="Normal"/>
    <w:link w:val="BalloonTextChar"/>
    <w:uiPriority w:val="99"/>
    <w:semiHidden/>
    <w:unhideWhenUsed/>
    <w:rsid w:val="001505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5C2"/>
    <w:rPr>
      <w:rFonts w:ascii="Tahoma" w:hAnsi="Tahoma" w:cs="Tahoma"/>
      <w:sz w:val="16"/>
      <w:szCs w:val="16"/>
    </w:rPr>
  </w:style>
  <w:style w:type="character" w:styleId="FollowedHyperlink">
    <w:name w:val="FollowedHyperlink"/>
    <w:basedOn w:val="DefaultParagraphFont"/>
    <w:uiPriority w:val="99"/>
    <w:semiHidden/>
    <w:unhideWhenUsed/>
    <w:rsid w:val="005342B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90EAF"/>
    <w:pPr>
      <w:autoSpaceDE w:val="0"/>
      <w:autoSpaceDN w:val="0"/>
      <w:adjustRightInd w:val="0"/>
      <w:spacing w:after="0" w:line="240" w:lineRule="auto"/>
    </w:pPr>
    <w:rPr>
      <w:rFonts w:ascii="Cambria" w:hAnsi="Cambria" w:cs="Cambria"/>
      <w:color w:val="000000"/>
      <w:sz w:val="24"/>
      <w:szCs w:val="24"/>
    </w:rPr>
  </w:style>
  <w:style w:type="paragraph" w:styleId="ListParagraph">
    <w:name w:val="List Paragraph"/>
    <w:basedOn w:val="Normal"/>
    <w:uiPriority w:val="34"/>
    <w:qFormat/>
    <w:rsid w:val="004F1E53"/>
    <w:pPr>
      <w:ind w:left="720"/>
      <w:contextualSpacing/>
    </w:pPr>
  </w:style>
  <w:style w:type="character" w:styleId="Hyperlink">
    <w:name w:val="Hyperlink"/>
    <w:basedOn w:val="DefaultParagraphFont"/>
    <w:uiPriority w:val="99"/>
    <w:unhideWhenUsed/>
    <w:rsid w:val="004F1E53"/>
    <w:rPr>
      <w:color w:val="0000FF" w:themeColor="hyperlink"/>
      <w:u w:val="single"/>
    </w:rPr>
  </w:style>
  <w:style w:type="paragraph" w:styleId="BalloonText">
    <w:name w:val="Balloon Text"/>
    <w:basedOn w:val="Normal"/>
    <w:link w:val="BalloonTextChar"/>
    <w:uiPriority w:val="99"/>
    <w:semiHidden/>
    <w:unhideWhenUsed/>
    <w:rsid w:val="001505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5C2"/>
    <w:rPr>
      <w:rFonts w:ascii="Tahoma" w:hAnsi="Tahoma" w:cs="Tahoma"/>
      <w:sz w:val="16"/>
      <w:szCs w:val="16"/>
    </w:rPr>
  </w:style>
  <w:style w:type="character" w:styleId="FollowedHyperlink">
    <w:name w:val="FollowedHyperlink"/>
    <w:basedOn w:val="DefaultParagraphFont"/>
    <w:uiPriority w:val="99"/>
    <w:semiHidden/>
    <w:unhideWhenUsed/>
    <w:rsid w:val="005342B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327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2.ed.gov/policy/fund/reg/edgarReg/edgar.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574</Words>
  <Characters>3276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ride</Company>
  <LinksUpToDate>false</LinksUpToDate>
  <CharactersWithSpaces>3843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chouki</dc:creator>
  <cp:lastModifiedBy>Chouinard, Kim</cp:lastModifiedBy>
  <cp:revision>2</cp:revision>
  <cp:lastPrinted>2013-11-18T14:00:00Z</cp:lastPrinted>
  <dcterms:created xsi:type="dcterms:W3CDTF">2014-06-26T15:56:00Z</dcterms:created>
  <dcterms:modified xsi:type="dcterms:W3CDTF">2014-06-26T15:56:00Z</dcterms:modified>
</cp:coreProperties>
</file>