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195A16" w14:textId="6B5AC6D9" w:rsidR="00CC6FA2" w:rsidRDefault="00687C30" w:rsidP="00CC6FA2">
      <w:r>
        <w:rPr>
          <w:noProof/>
        </w:rPr>
        <w:t xml:space="preserve">                                                                          </w:t>
      </w:r>
      <w:r>
        <w:rPr>
          <w:noProof/>
        </w:rPr>
        <w:drawing>
          <wp:inline distT="0" distB="0" distL="0" distR="0" wp14:anchorId="54F59AB2" wp14:editId="67522F1E">
            <wp:extent cx="1312563" cy="1300223"/>
            <wp:effectExtent l="0" t="0" r="1905" b="0"/>
            <wp:docPr id="237160896" name="Picture 1" descr="A clipboard with a pen and checkli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160896" name="Picture 1" descr="A clipboard with a pen and checklist&#10;&#10;Description automatically generated"/>
                    <pic:cNvPicPr/>
                  </pic:nvPicPr>
                  <pic:blipFill>
                    <a:blip r:embed="rId5" cstate="print">
                      <a:extLst>
                        <a:ext uri="{28A0092B-C50C-407E-A947-70E740481C1C}">
                          <a14:useLocalDpi xmlns:a14="http://schemas.microsoft.com/office/drawing/2010/main" val="0"/>
                        </a:ext>
                        <a:ext uri="{837473B0-CC2E-450A-ABE3-18F120FF3D39}">
                          <a1611:picAttrSrcUrl xmlns:a1611="http://schemas.microsoft.com/office/drawing/2016/11/main" r:id="rId6"/>
                        </a:ext>
                      </a:extLst>
                    </a:blip>
                    <a:stretch>
                      <a:fillRect/>
                    </a:stretch>
                  </pic:blipFill>
                  <pic:spPr>
                    <a:xfrm>
                      <a:off x="0" y="0"/>
                      <a:ext cx="1322217" cy="1309786"/>
                    </a:xfrm>
                    <a:prstGeom prst="rect">
                      <a:avLst/>
                    </a:prstGeom>
                  </pic:spPr>
                </pic:pic>
              </a:graphicData>
            </a:graphic>
          </wp:inline>
        </w:drawing>
      </w:r>
    </w:p>
    <w:p w14:paraId="069641DE" w14:textId="77777777" w:rsidR="00CC6FA2" w:rsidRDefault="00CC6FA2" w:rsidP="00CC6FA2">
      <w:pPr>
        <w:spacing w:after="0"/>
      </w:pPr>
    </w:p>
    <w:p w14:paraId="193535C2" w14:textId="77777777" w:rsidR="00687C30" w:rsidRDefault="00687C30" w:rsidP="00CC6FA2">
      <w:pPr>
        <w:spacing w:after="0"/>
        <w:jc w:val="center"/>
        <w:rPr>
          <w:b/>
          <w:bCs/>
          <w:sz w:val="28"/>
          <w:szCs w:val="28"/>
        </w:rPr>
      </w:pPr>
      <w:r>
        <w:rPr>
          <w:b/>
          <w:bCs/>
          <w:sz w:val="28"/>
          <w:szCs w:val="28"/>
        </w:rPr>
        <w:t>Rhode Island Department of Education</w:t>
      </w:r>
    </w:p>
    <w:p w14:paraId="2982ACCE" w14:textId="2946B908" w:rsidR="00624C1F" w:rsidRDefault="00CC6FA2" w:rsidP="00CC6FA2">
      <w:pPr>
        <w:spacing w:after="0"/>
        <w:jc w:val="center"/>
        <w:rPr>
          <w:b/>
          <w:bCs/>
          <w:sz w:val="28"/>
          <w:szCs w:val="28"/>
        </w:rPr>
      </w:pPr>
      <w:r w:rsidRPr="00CC6FA2">
        <w:rPr>
          <w:b/>
          <w:bCs/>
          <w:sz w:val="28"/>
          <w:szCs w:val="28"/>
        </w:rPr>
        <w:t>Title I</w:t>
      </w:r>
      <w:r w:rsidR="00D32EC8">
        <w:rPr>
          <w:b/>
          <w:bCs/>
          <w:sz w:val="28"/>
          <w:szCs w:val="28"/>
        </w:rPr>
        <w:t>-A</w:t>
      </w:r>
      <w:r w:rsidRPr="00CC6FA2">
        <w:rPr>
          <w:b/>
          <w:bCs/>
          <w:sz w:val="28"/>
          <w:szCs w:val="28"/>
        </w:rPr>
        <w:t xml:space="preserve"> Comparability Reporting </w:t>
      </w:r>
    </w:p>
    <w:p w14:paraId="2C038DDD" w14:textId="6295D7BF" w:rsidR="00CC6FA2" w:rsidRPr="00CC6FA2" w:rsidRDefault="00CC6FA2" w:rsidP="00CC6FA2">
      <w:pPr>
        <w:spacing w:after="0"/>
        <w:jc w:val="center"/>
        <w:rPr>
          <w:b/>
          <w:bCs/>
          <w:sz w:val="28"/>
          <w:szCs w:val="28"/>
        </w:rPr>
      </w:pPr>
      <w:r w:rsidRPr="00CC6FA2">
        <w:rPr>
          <w:b/>
          <w:bCs/>
          <w:sz w:val="28"/>
          <w:szCs w:val="28"/>
        </w:rPr>
        <w:t xml:space="preserve"> </w:t>
      </w:r>
      <w:r>
        <w:rPr>
          <w:b/>
          <w:bCs/>
          <w:sz w:val="28"/>
          <w:szCs w:val="28"/>
        </w:rPr>
        <w:t>Guidance and Documentation Tips</w:t>
      </w:r>
    </w:p>
    <w:p w14:paraId="6FF992E1" w14:textId="60C1691B" w:rsidR="00CC6FA2" w:rsidRPr="00CC6FA2" w:rsidRDefault="00CC6FA2" w:rsidP="00CC6FA2">
      <w:pPr>
        <w:spacing w:after="0"/>
        <w:jc w:val="center"/>
        <w:rPr>
          <w:b/>
          <w:bCs/>
          <w:sz w:val="28"/>
          <w:szCs w:val="28"/>
        </w:rPr>
      </w:pPr>
      <w:r w:rsidRPr="00CC6FA2">
        <w:rPr>
          <w:b/>
          <w:bCs/>
          <w:sz w:val="28"/>
          <w:szCs w:val="28"/>
        </w:rPr>
        <w:t>2024-2025</w:t>
      </w:r>
    </w:p>
    <w:p w14:paraId="29B4A122" w14:textId="77777777" w:rsidR="00CC6FA2" w:rsidRDefault="00CC6FA2" w:rsidP="00CC6FA2"/>
    <w:p w14:paraId="4A8356D7" w14:textId="1F66115B" w:rsidR="00CC6FA2" w:rsidRDefault="00CC6FA2" w:rsidP="002410E4">
      <w:pPr>
        <w:spacing w:after="0"/>
      </w:pPr>
      <w:r>
        <w:t xml:space="preserve">Section 1118(c) of the Elementary and Secondary Education Act (ESEA) states that a local educational </w:t>
      </w:r>
    </w:p>
    <w:p w14:paraId="2BA74A07" w14:textId="52E0C5E6" w:rsidR="00CC6FA2" w:rsidRDefault="00CC6FA2" w:rsidP="002410E4">
      <w:pPr>
        <w:spacing w:after="0"/>
      </w:pPr>
      <w:r>
        <w:t>agency (LEA) may receive Title I</w:t>
      </w:r>
      <w:r w:rsidR="00D32EC8">
        <w:t xml:space="preserve">-A </w:t>
      </w:r>
      <w:r>
        <w:t xml:space="preserve">funds only if it uses State and local funds to provide services in </w:t>
      </w:r>
    </w:p>
    <w:p w14:paraId="4BCFB2CD" w14:textId="77777777" w:rsidR="00CC6FA2" w:rsidRDefault="00CC6FA2" w:rsidP="002410E4">
      <w:pPr>
        <w:spacing w:after="0"/>
      </w:pPr>
      <w:r>
        <w:t xml:space="preserve">Title I schools that, taken as a whole, are at least comparable to the services provided in the schools that </w:t>
      </w:r>
    </w:p>
    <w:p w14:paraId="7A0B4E84" w14:textId="6D10F05D" w:rsidR="00CC6FA2" w:rsidRDefault="00CC6FA2" w:rsidP="002410E4">
      <w:pPr>
        <w:spacing w:after="0"/>
      </w:pPr>
      <w:r>
        <w:t xml:space="preserve">are not receiving Title </w:t>
      </w:r>
      <w:r w:rsidR="00D32EC8">
        <w:t>I-A</w:t>
      </w:r>
      <w:r>
        <w:t xml:space="preserve"> funds. If </w:t>
      </w:r>
      <w:proofErr w:type="gramStart"/>
      <w:r>
        <w:t>the LEA</w:t>
      </w:r>
      <w:proofErr w:type="gramEnd"/>
      <w:r>
        <w:t xml:space="preserve"> serves </w:t>
      </w:r>
      <w:proofErr w:type="gramStart"/>
      <w:r>
        <w:t>all of</w:t>
      </w:r>
      <w:proofErr w:type="gramEnd"/>
      <w:r>
        <w:t xml:space="preserve"> its schools with Title I</w:t>
      </w:r>
      <w:r w:rsidR="00D32EC8">
        <w:t xml:space="preserve">-A </w:t>
      </w:r>
      <w:r>
        <w:t xml:space="preserve">funds, the LEA must use </w:t>
      </w:r>
    </w:p>
    <w:p w14:paraId="1ED01B4F" w14:textId="77777777" w:rsidR="00CC6FA2" w:rsidRDefault="00CC6FA2" w:rsidP="002410E4">
      <w:pPr>
        <w:spacing w:after="0"/>
      </w:pPr>
      <w:r>
        <w:t xml:space="preserve">State and local funds to provide services that, taken as a whole, are substantially comparable in each </w:t>
      </w:r>
    </w:p>
    <w:p w14:paraId="30B47B32" w14:textId="1012B987" w:rsidR="00CC6FA2" w:rsidRDefault="00CC6FA2" w:rsidP="002410E4">
      <w:pPr>
        <w:spacing w:after="0"/>
      </w:pPr>
      <w:r>
        <w:t>Title I</w:t>
      </w:r>
      <w:r w:rsidR="00D32EC8">
        <w:t xml:space="preserve">-A </w:t>
      </w:r>
      <w:r>
        <w:t>school.</w:t>
      </w:r>
    </w:p>
    <w:p w14:paraId="6D1213C3" w14:textId="77777777" w:rsidR="00CC6FA2" w:rsidRDefault="00CC6FA2" w:rsidP="002410E4">
      <w:pPr>
        <w:spacing w:after="0"/>
      </w:pPr>
    </w:p>
    <w:p w14:paraId="16E6EA4F" w14:textId="095A0FB8" w:rsidR="00CC6FA2" w:rsidRDefault="00CC6FA2" w:rsidP="002410E4">
      <w:pPr>
        <w:spacing w:after="0"/>
      </w:pPr>
      <w:r>
        <w:t>Demonstrating comparability is a prerequisite for receiving Title I</w:t>
      </w:r>
      <w:r w:rsidR="00D32EC8">
        <w:t xml:space="preserve">-A </w:t>
      </w:r>
      <w:r>
        <w:t>funds. Since Title I</w:t>
      </w:r>
      <w:r w:rsidR="00D32EC8">
        <w:t>-A</w:t>
      </w:r>
      <w:r>
        <w:t xml:space="preserve"> </w:t>
      </w:r>
    </w:p>
    <w:p w14:paraId="33B79491" w14:textId="77777777" w:rsidR="00CC6FA2" w:rsidRDefault="00CC6FA2" w:rsidP="002410E4">
      <w:pPr>
        <w:spacing w:after="0"/>
      </w:pPr>
      <w:proofErr w:type="gramStart"/>
      <w:r>
        <w:t>allocations</w:t>
      </w:r>
      <w:proofErr w:type="gramEnd"/>
      <w:r>
        <w:t xml:space="preserve"> are made </w:t>
      </w:r>
      <w:proofErr w:type="gramStart"/>
      <w:r>
        <w:t>annually,</w:t>
      </w:r>
      <w:proofErr w:type="gramEnd"/>
      <w:r>
        <w:t xml:space="preserve"> </w:t>
      </w:r>
      <w:r w:rsidRPr="00D32EC8">
        <w:rPr>
          <w:b/>
          <w:bCs/>
          <w:u w:val="single"/>
        </w:rPr>
        <w:t>comparability is an ANNUAL requirement</w:t>
      </w:r>
      <w:r>
        <w:t xml:space="preserve">. RIDE is responsible for </w:t>
      </w:r>
    </w:p>
    <w:p w14:paraId="24CB5D89" w14:textId="77777777" w:rsidR="00CC6FA2" w:rsidRDefault="00CC6FA2" w:rsidP="002410E4">
      <w:pPr>
        <w:spacing w:after="0"/>
      </w:pPr>
      <w:r>
        <w:t xml:space="preserve">ensuring that LEAs comply with the comparability requirement and therefore may determine the </w:t>
      </w:r>
    </w:p>
    <w:p w14:paraId="6D604D1A" w14:textId="77777777" w:rsidR="00E3311D" w:rsidRDefault="00CC6FA2" w:rsidP="002410E4">
      <w:pPr>
        <w:spacing w:after="0"/>
      </w:pPr>
      <w:r>
        <w:t>method that LEAs use to demonstrate comparability.</w:t>
      </w:r>
      <w:r w:rsidR="00E3311D" w:rsidRPr="00E3311D">
        <w:t xml:space="preserve"> </w:t>
      </w:r>
    </w:p>
    <w:p w14:paraId="5F1B33B5" w14:textId="77777777" w:rsidR="00E3311D" w:rsidRDefault="00E3311D" w:rsidP="00E3311D"/>
    <w:p w14:paraId="382D9B89" w14:textId="77777777" w:rsidR="00E3311D" w:rsidRDefault="00E3311D" w:rsidP="00E3311D"/>
    <w:p w14:paraId="0483F9C1" w14:textId="1A2E515A" w:rsidR="00E3311D" w:rsidRPr="002410E4" w:rsidRDefault="00E3311D" w:rsidP="00E3311D">
      <w:pPr>
        <w:rPr>
          <w:b/>
          <w:bCs/>
          <w:sz w:val="24"/>
          <w:szCs w:val="24"/>
          <w:u w:val="single"/>
        </w:rPr>
      </w:pPr>
      <w:r w:rsidRPr="002410E4">
        <w:rPr>
          <w:b/>
          <w:bCs/>
          <w:sz w:val="24"/>
          <w:szCs w:val="24"/>
          <w:u w:val="single"/>
        </w:rPr>
        <w:t>Me</w:t>
      </w:r>
      <w:r w:rsidR="00CD36B1" w:rsidRPr="002410E4">
        <w:rPr>
          <w:b/>
          <w:bCs/>
          <w:sz w:val="24"/>
          <w:szCs w:val="24"/>
          <w:u w:val="single"/>
        </w:rPr>
        <w:t>thod</w:t>
      </w:r>
      <w:r w:rsidRPr="002410E4">
        <w:rPr>
          <w:b/>
          <w:bCs/>
          <w:sz w:val="24"/>
          <w:szCs w:val="24"/>
          <w:u w:val="single"/>
        </w:rPr>
        <w:t xml:space="preserve"> and processes used to determine comparability</w:t>
      </w:r>
    </w:p>
    <w:p w14:paraId="15C29472" w14:textId="25847621" w:rsidR="00CD36B1" w:rsidRDefault="00CD36B1" w:rsidP="00E3311D">
      <w:pPr>
        <w:pStyle w:val="ListParagraph"/>
        <w:numPr>
          <w:ilvl w:val="0"/>
          <w:numId w:val="2"/>
        </w:numPr>
      </w:pPr>
      <w:r>
        <w:t>As a State Education Agency, RIDE establishes the method that LEA</w:t>
      </w:r>
      <w:r w:rsidR="00D32EC8">
        <w:t>s</w:t>
      </w:r>
      <w:r>
        <w:t xml:space="preserve"> will use to determine comparability and distributes the reporting forms that the LEA must use. </w:t>
      </w:r>
    </w:p>
    <w:p w14:paraId="7A46925C" w14:textId="6889418E" w:rsidR="00CD36B1" w:rsidRDefault="00E3311D" w:rsidP="00E3311D">
      <w:pPr>
        <w:pStyle w:val="ListParagraph"/>
        <w:numPr>
          <w:ilvl w:val="0"/>
          <w:numId w:val="2"/>
        </w:numPr>
      </w:pPr>
      <w:r>
        <w:t xml:space="preserve">RIDE </w:t>
      </w:r>
      <w:r w:rsidR="00D32EC8">
        <w:t>has determined that</w:t>
      </w:r>
      <w:r>
        <w:t xml:space="preserve"> comparability </w:t>
      </w:r>
      <w:r w:rsidR="00D32EC8">
        <w:t xml:space="preserve">will be </w:t>
      </w:r>
      <w:r>
        <w:t xml:space="preserve">based on student/instructional staff ratios. </w:t>
      </w:r>
    </w:p>
    <w:p w14:paraId="2E245CDB" w14:textId="2DBAC227" w:rsidR="003E7A4B" w:rsidRDefault="00CD36B1" w:rsidP="00E3311D">
      <w:pPr>
        <w:pStyle w:val="ListParagraph"/>
        <w:numPr>
          <w:ilvl w:val="0"/>
          <w:numId w:val="2"/>
        </w:numPr>
      </w:pPr>
      <w:r>
        <w:t>T</w:t>
      </w:r>
      <w:r w:rsidR="00E3311D">
        <w:t>h</w:t>
      </w:r>
      <w:r w:rsidR="00EF3E3A">
        <w:t>e</w:t>
      </w:r>
      <w:r w:rsidR="00E3311D">
        <w:t xml:space="preserve"> reporting form</w:t>
      </w:r>
      <w:r w:rsidR="00D32EC8">
        <w:t>s</w:t>
      </w:r>
      <w:r w:rsidR="00E3311D">
        <w:t xml:space="preserve"> consist of: </w:t>
      </w:r>
    </w:p>
    <w:p w14:paraId="0F2A179D" w14:textId="6ED5633A" w:rsidR="00E3311D" w:rsidRDefault="00E3311D" w:rsidP="003E7A4B">
      <w:pPr>
        <w:pStyle w:val="ListParagraph"/>
      </w:pPr>
      <w:r>
        <w:t>1) an Excel workbook demonstrating that student/instructional staff ratios are comparable; and 2) written assurances that the LEA has established and implemented a district-wide salary schedule and policies to ensure equivalence among schools in staffing and in the provision of materials and supplies.</w:t>
      </w:r>
    </w:p>
    <w:p w14:paraId="54A09C99" w14:textId="77777777" w:rsidR="00E3311D" w:rsidRPr="002410E4" w:rsidRDefault="00E3311D" w:rsidP="00E3311D">
      <w:pPr>
        <w:rPr>
          <w:b/>
          <w:bCs/>
          <w:sz w:val="24"/>
          <w:szCs w:val="24"/>
          <w:u w:val="single"/>
        </w:rPr>
      </w:pPr>
    </w:p>
    <w:p w14:paraId="5CD88FD1" w14:textId="13A4565A" w:rsidR="00E3311D" w:rsidRPr="002410E4" w:rsidRDefault="00E3311D" w:rsidP="00E3311D">
      <w:pPr>
        <w:rPr>
          <w:b/>
          <w:bCs/>
          <w:sz w:val="24"/>
          <w:szCs w:val="24"/>
          <w:u w:val="single"/>
        </w:rPr>
      </w:pPr>
      <w:r w:rsidRPr="002410E4">
        <w:rPr>
          <w:b/>
          <w:bCs/>
          <w:sz w:val="24"/>
          <w:szCs w:val="24"/>
          <w:u w:val="single"/>
        </w:rPr>
        <w:t>Reporting</w:t>
      </w:r>
      <w:r w:rsidR="00CD36B1" w:rsidRPr="002410E4">
        <w:rPr>
          <w:b/>
          <w:bCs/>
          <w:sz w:val="24"/>
          <w:szCs w:val="24"/>
          <w:u w:val="single"/>
        </w:rPr>
        <w:t xml:space="preserve"> </w:t>
      </w:r>
      <w:r w:rsidRPr="002410E4">
        <w:rPr>
          <w:b/>
          <w:bCs/>
          <w:sz w:val="24"/>
          <w:szCs w:val="24"/>
          <w:u w:val="single"/>
        </w:rPr>
        <w:t>Forms</w:t>
      </w:r>
    </w:p>
    <w:p w14:paraId="7C7477F8" w14:textId="58476C8D" w:rsidR="00945660" w:rsidRDefault="00E3311D" w:rsidP="00CD36B1">
      <w:pPr>
        <w:pStyle w:val="ListParagraph"/>
        <w:numPr>
          <w:ilvl w:val="0"/>
          <w:numId w:val="2"/>
        </w:numPr>
      </w:pPr>
      <w:r>
        <w:t xml:space="preserve">The methods </w:t>
      </w:r>
      <w:r w:rsidR="002410E4">
        <w:t xml:space="preserve">and forms used by an </w:t>
      </w:r>
      <w:r>
        <w:t xml:space="preserve">LEA </w:t>
      </w:r>
      <w:r w:rsidR="002410E4">
        <w:t>to</w:t>
      </w:r>
      <w:r>
        <w:t xml:space="preserve"> demonstrate comparable student /instructional staff ratios are</w:t>
      </w:r>
      <w:r w:rsidR="00CD36B1">
        <w:t xml:space="preserve"> </w:t>
      </w:r>
      <w:r>
        <w:t xml:space="preserve">dependent upon </w:t>
      </w:r>
      <w:proofErr w:type="gramStart"/>
      <w:r>
        <w:t>whether or not</w:t>
      </w:r>
      <w:proofErr w:type="gramEnd"/>
      <w:r>
        <w:t xml:space="preserve"> the grade span contains a mix of Title I</w:t>
      </w:r>
      <w:r w:rsidR="00624C1F">
        <w:t>-A</w:t>
      </w:r>
      <w:r>
        <w:t xml:space="preserve"> participating and non</w:t>
      </w:r>
      <w:r w:rsidR="00CD36B1">
        <w:t>-</w:t>
      </w:r>
      <w:r>
        <w:t>participating schools.</w:t>
      </w:r>
    </w:p>
    <w:p w14:paraId="0389A778" w14:textId="77777777" w:rsidR="00460C8E" w:rsidRDefault="00460C8E" w:rsidP="002410E4">
      <w:pPr>
        <w:spacing w:after="0"/>
      </w:pPr>
    </w:p>
    <w:p w14:paraId="4EAE0055" w14:textId="77777777" w:rsidR="00687C30" w:rsidRDefault="00687C30" w:rsidP="002410E4">
      <w:pPr>
        <w:spacing w:after="0"/>
        <w:rPr>
          <w:b/>
          <w:bCs/>
        </w:rPr>
      </w:pPr>
    </w:p>
    <w:p w14:paraId="05EFA040" w14:textId="295C22C1" w:rsidR="00460C8E" w:rsidRPr="00460C8E" w:rsidRDefault="00EE2CDC" w:rsidP="002410E4">
      <w:pPr>
        <w:spacing w:after="0"/>
        <w:rPr>
          <w:b/>
          <w:bCs/>
        </w:rPr>
      </w:pPr>
      <w:r>
        <w:rPr>
          <w:b/>
          <w:bCs/>
        </w:rPr>
        <w:lastRenderedPageBreak/>
        <w:t>Scenario 1-</w:t>
      </w:r>
      <w:r w:rsidR="00460C8E" w:rsidRPr="00460C8E">
        <w:rPr>
          <w:b/>
          <w:bCs/>
        </w:rPr>
        <w:t>Grade Span Contains Both Title I</w:t>
      </w:r>
      <w:r w:rsidR="00624C1F">
        <w:rPr>
          <w:b/>
          <w:bCs/>
        </w:rPr>
        <w:t>-A</w:t>
      </w:r>
      <w:r w:rsidR="00460C8E" w:rsidRPr="00460C8E">
        <w:rPr>
          <w:b/>
          <w:bCs/>
        </w:rPr>
        <w:t xml:space="preserve"> and Non-Title I</w:t>
      </w:r>
      <w:r w:rsidR="00624C1F">
        <w:rPr>
          <w:b/>
          <w:bCs/>
        </w:rPr>
        <w:t>-A</w:t>
      </w:r>
      <w:r w:rsidR="00460C8E" w:rsidRPr="00460C8E">
        <w:rPr>
          <w:b/>
          <w:bCs/>
        </w:rPr>
        <w:t xml:space="preserve"> Schools </w:t>
      </w:r>
    </w:p>
    <w:p w14:paraId="54E375BD" w14:textId="3EDA45CC" w:rsidR="00460C8E" w:rsidRDefault="00460C8E" w:rsidP="002410E4">
      <w:pPr>
        <w:spacing w:after="0"/>
      </w:pPr>
      <w:r>
        <w:t xml:space="preserve">If the grade span grouping </w:t>
      </w:r>
      <w:r w:rsidR="00687C30">
        <w:t>contains</w:t>
      </w:r>
      <w:r>
        <w:t xml:space="preserve"> both Title I</w:t>
      </w:r>
      <w:r w:rsidR="00624C1F">
        <w:t>-A</w:t>
      </w:r>
      <w:r>
        <w:t xml:space="preserve"> participating and non-Title I</w:t>
      </w:r>
      <w:r w:rsidR="00624C1F">
        <w:t>-A</w:t>
      </w:r>
      <w:r>
        <w:t xml:space="preserve"> schools, then the LEA </w:t>
      </w:r>
    </w:p>
    <w:p w14:paraId="3528C03B" w14:textId="77777777" w:rsidR="00460C8E" w:rsidRDefault="00460C8E" w:rsidP="002410E4">
      <w:pPr>
        <w:spacing w:after="0"/>
      </w:pPr>
      <w:r>
        <w:t xml:space="preserve">completes the Participating/Non-Participating Schools report. In this report, student/staff ratios for </w:t>
      </w:r>
    </w:p>
    <w:p w14:paraId="5954E810" w14:textId="77777777" w:rsidR="00624C1F" w:rsidRDefault="00460C8E" w:rsidP="002410E4">
      <w:pPr>
        <w:spacing w:after="0"/>
      </w:pPr>
      <w:r>
        <w:t>Title I</w:t>
      </w:r>
      <w:r w:rsidR="00624C1F">
        <w:t xml:space="preserve">-A </w:t>
      </w:r>
      <w:r>
        <w:t>participating schools are compared to ratios for non-participating Title I</w:t>
      </w:r>
      <w:r w:rsidR="00624C1F">
        <w:t>-A</w:t>
      </w:r>
      <w:r>
        <w:t xml:space="preserve"> schools. </w:t>
      </w:r>
    </w:p>
    <w:p w14:paraId="3312F1D2" w14:textId="09F2BCCF" w:rsidR="00460C8E" w:rsidRPr="00077A73" w:rsidRDefault="00460C8E" w:rsidP="002410E4">
      <w:pPr>
        <w:spacing w:after="0"/>
        <w:rPr>
          <w:u w:val="single"/>
        </w:rPr>
      </w:pPr>
      <w:r w:rsidRPr="00077A73">
        <w:rPr>
          <w:u w:val="single"/>
        </w:rPr>
        <w:t>Most districts that report comparability will use this method</w:t>
      </w:r>
      <w:r w:rsidR="00077A73" w:rsidRPr="00077A73">
        <w:rPr>
          <w:u w:val="single"/>
        </w:rPr>
        <w:t>.</w:t>
      </w:r>
    </w:p>
    <w:p w14:paraId="6AF83901" w14:textId="77777777" w:rsidR="00624C1F" w:rsidRDefault="00624C1F" w:rsidP="00460C8E">
      <w:pPr>
        <w:rPr>
          <w:b/>
          <w:bCs/>
        </w:rPr>
      </w:pPr>
    </w:p>
    <w:p w14:paraId="608AF1DD" w14:textId="0B0CC3A9" w:rsidR="00460C8E" w:rsidRPr="00460C8E" w:rsidRDefault="00EE2CDC" w:rsidP="00460C8E">
      <w:pPr>
        <w:rPr>
          <w:b/>
          <w:bCs/>
        </w:rPr>
      </w:pPr>
      <w:r>
        <w:rPr>
          <w:b/>
          <w:bCs/>
        </w:rPr>
        <w:t>Option 2-</w:t>
      </w:r>
      <w:r w:rsidR="00460C8E" w:rsidRPr="00460C8E">
        <w:rPr>
          <w:b/>
          <w:bCs/>
        </w:rPr>
        <w:t>All Schools within Grade Span are Title I</w:t>
      </w:r>
      <w:r w:rsidR="00B80157">
        <w:rPr>
          <w:b/>
          <w:bCs/>
        </w:rPr>
        <w:t>-A</w:t>
      </w:r>
      <w:r w:rsidR="00460C8E" w:rsidRPr="00460C8E">
        <w:rPr>
          <w:b/>
          <w:bCs/>
        </w:rPr>
        <w:t xml:space="preserve"> Schools</w:t>
      </w:r>
    </w:p>
    <w:p w14:paraId="2989C18F" w14:textId="6B5A9AEF" w:rsidR="005A1497" w:rsidRDefault="00460C8E" w:rsidP="00EE2CDC">
      <w:pPr>
        <w:spacing w:after="0"/>
      </w:pPr>
      <w:r w:rsidRPr="005A1497">
        <w:rPr>
          <w:u w:val="single"/>
        </w:rPr>
        <w:t>If every school within a grade span is a Title I</w:t>
      </w:r>
      <w:r w:rsidR="00B80157">
        <w:rPr>
          <w:u w:val="single"/>
        </w:rPr>
        <w:t>-A</w:t>
      </w:r>
      <w:r w:rsidRPr="005A1497">
        <w:rPr>
          <w:u w:val="single"/>
        </w:rPr>
        <w:t xml:space="preserve"> participating school</w:t>
      </w:r>
      <w:r>
        <w:t>, then the LEA has the</w:t>
      </w:r>
      <w:r w:rsidR="00687C30">
        <w:t xml:space="preserve"> </w:t>
      </w:r>
      <w:proofErr w:type="gramStart"/>
      <w:r w:rsidR="00687C30">
        <w:t xml:space="preserve">additional </w:t>
      </w:r>
      <w:r>
        <w:t xml:space="preserve"> option</w:t>
      </w:r>
      <w:proofErr w:type="gramEnd"/>
      <w:r>
        <w:t xml:space="preserve"> of choosing between two different methods in order to demonstrate comparability. </w:t>
      </w:r>
    </w:p>
    <w:p w14:paraId="7F11621A" w14:textId="77777777" w:rsidR="00EE2CDC" w:rsidRDefault="00EE2CDC" w:rsidP="00EE2CDC">
      <w:pPr>
        <w:spacing w:after="0"/>
      </w:pPr>
    </w:p>
    <w:p w14:paraId="1CA8893B" w14:textId="4D62AC09" w:rsidR="00460C8E" w:rsidRDefault="00460C8E" w:rsidP="00460C8E">
      <w:pPr>
        <w:pStyle w:val="ListParagraph"/>
        <w:numPr>
          <w:ilvl w:val="0"/>
          <w:numId w:val="1"/>
        </w:numPr>
      </w:pPr>
      <w:r>
        <w:t xml:space="preserve">The first option that </w:t>
      </w:r>
      <w:proofErr w:type="gramStart"/>
      <w:r>
        <w:t>an LEA</w:t>
      </w:r>
      <w:proofErr w:type="gramEnd"/>
      <w:r>
        <w:t xml:space="preserve"> may use to show comparability is through completing the High/Low-Poverty Comparison Schools report. In this report, the LEA demonstrates comparability by comparing student/instructional staff ratios in high-poverty schools to a limited comparison group of low-poverty schools. The LEA has discretion in determining the threshold point separating high-poverty and low-poverty schools within the grade span.</w:t>
      </w:r>
    </w:p>
    <w:p w14:paraId="55747F1C" w14:textId="77777777" w:rsidR="005A1497" w:rsidRDefault="005A1497" w:rsidP="005A1497">
      <w:pPr>
        <w:pStyle w:val="ListParagraph"/>
      </w:pPr>
    </w:p>
    <w:p w14:paraId="03ED11F2" w14:textId="067FDED9" w:rsidR="00460C8E" w:rsidRDefault="00460C8E" w:rsidP="00460C8E">
      <w:pPr>
        <w:pStyle w:val="ListParagraph"/>
        <w:numPr>
          <w:ilvl w:val="0"/>
          <w:numId w:val="1"/>
        </w:numPr>
      </w:pPr>
      <w:r>
        <w:t>The second method that may be used in reporting comparability is the Grade Span Comparison Schools</w:t>
      </w:r>
      <w:r w:rsidR="005A1497">
        <w:t xml:space="preserve"> </w:t>
      </w:r>
      <w:r>
        <w:t>report. The LEA completes this report by calculating the average student/instructional staff ratio for all schools within the grade span. If every school’s ratio falls within 90 and 110 percent of the average for all schools within the grade span, then that grade span is comparable.</w:t>
      </w:r>
    </w:p>
    <w:p w14:paraId="68738C9C" w14:textId="77777777" w:rsidR="00181854" w:rsidRDefault="00181854" w:rsidP="00181854"/>
    <w:p w14:paraId="0A8993DC" w14:textId="5F85B078" w:rsidR="000932F2" w:rsidRPr="000932F2" w:rsidRDefault="000932F2" w:rsidP="000932F2">
      <w:pPr>
        <w:rPr>
          <w:b/>
          <w:bCs/>
          <w:sz w:val="24"/>
          <w:szCs w:val="24"/>
        </w:rPr>
      </w:pPr>
      <w:r w:rsidRPr="000932F2">
        <w:rPr>
          <w:b/>
          <w:bCs/>
          <w:sz w:val="24"/>
          <w:szCs w:val="24"/>
        </w:rPr>
        <w:t>Timeline for demonstrating comparability</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30"/>
        <w:gridCol w:w="7114"/>
      </w:tblGrid>
      <w:tr w:rsidR="000932F2" w:rsidRPr="000932F2" w14:paraId="76C076E3" w14:textId="77777777" w:rsidTr="000932F2">
        <w:trPr>
          <w:trHeight w:val="300"/>
        </w:trPr>
        <w:tc>
          <w:tcPr>
            <w:tcW w:w="2505" w:type="dxa"/>
            <w:tcBorders>
              <w:top w:val="single" w:sz="6" w:space="0" w:color="auto"/>
              <w:left w:val="single" w:sz="6" w:space="0" w:color="auto"/>
              <w:bottom w:val="single" w:sz="6" w:space="0" w:color="auto"/>
              <w:right w:val="single" w:sz="6" w:space="0" w:color="auto"/>
            </w:tcBorders>
            <w:shd w:val="clear" w:color="auto" w:fill="auto"/>
            <w:hideMark/>
          </w:tcPr>
          <w:p w14:paraId="5AFA061C" w14:textId="479C9276" w:rsidR="000932F2" w:rsidRPr="000932F2" w:rsidRDefault="000932F2" w:rsidP="000932F2">
            <w:pPr>
              <w:spacing w:after="0" w:line="240" w:lineRule="auto"/>
              <w:textAlignment w:val="baseline"/>
              <w:rPr>
                <w:rFonts w:eastAsia="Times New Roman" w:cstheme="minorHAnsi"/>
                <w:kern w:val="0"/>
                <w14:ligatures w14:val="none"/>
              </w:rPr>
            </w:pPr>
            <w:r w:rsidRPr="000932F2">
              <w:rPr>
                <w:rFonts w:eastAsia="Times New Roman" w:cstheme="minorHAnsi"/>
                <w:kern w:val="0"/>
                <w14:ligatures w14:val="none"/>
              </w:rPr>
              <w:t>Timeline</w:t>
            </w:r>
          </w:p>
        </w:tc>
        <w:tc>
          <w:tcPr>
            <w:tcW w:w="8265" w:type="dxa"/>
            <w:tcBorders>
              <w:top w:val="single" w:sz="6" w:space="0" w:color="auto"/>
              <w:left w:val="single" w:sz="6" w:space="0" w:color="auto"/>
              <w:bottom w:val="single" w:sz="6" w:space="0" w:color="auto"/>
              <w:right w:val="single" w:sz="6" w:space="0" w:color="auto"/>
            </w:tcBorders>
            <w:shd w:val="clear" w:color="auto" w:fill="auto"/>
            <w:hideMark/>
          </w:tcPr>
          <w:p w14:paraId="44C939F0" w14:textId="77777777" w:rsidR="000932F2" w:rsidRPr="000932F2" w:rsidRDefault="000932F2" w:rsidP="000932F2">
            <w:pPr>
              <w:spacing w:after="0" w:line="240" w:lineRule="auto"/>
              <w:textAlignment w:val="baseline"/>
              <w:rPr>
                <w:rFonts w:ascii="Times New Roman" w:eastAsia="Times New Roman" w:hAnsi="Times New Roman" w:cs="Times New Roman"/>
                <w:kern w:val="0"/>
                <w:sz w:val="24"/>
                <w:szCs w:val="24"/>
                <w14:ligatures w14:val="none"/>
              </w:rPr>
            </w:pPr>
            <w:r w:rsidRPr="000932F2">
              <w:rPr>
                <w:rFonts w:ascii="Calibri" w:eastAsia="Times New Roman" w:hAnsi="Calibri" w:cs="Calibri"/>
                <w:color w:val="000000"/>
                <w:kern w:val="0"/>
                <w14:ligatures w14:val="none"/>
              </w:rPr>
              <w:t>Key Tasks </w:t>
            </w:r>
          </w:p>
        </w:tc>
      </w:tr>
      <w:tr w:rsidR="000932F2" w:rsidRPr="000932F2" w14:paraId="258A74A5" w14:textId="77777777" w:rsidTr="000932F2">
        <w:trPr>
          <w:trHeight w:val="300"/>
        </w:trPr>
        <w:tc>
          <w:tcPr>
            <w:tcW w:w="2505" w:type="dxa"/>
            <w:tcBorders>
              <w:top w:val="single" w:sz="6" w:space="0" w:color="auto"/>
              <w:left w:val="single" w:sz="6" w:space="0" w:color="auto"/>
              <w:bottom w:val="single" w:sz="6" w:space="0" w:color="auto"/>
              <w:right w:val="single" w:sz="6" w:space="0" w:color="auto"/>
            </w:tcBorders>
            <w:shd w:val="clear" w:color="auto" w:fill="E6CEFE"/>
            <w:hideMark/>
          </w:tcPr>
          <w:p w14:paraId="549A6574" w14:textId="558CE61B" w:rsidR="000932F2" w:rsidRPr="000932F2" w:rsidRDefault="000932F2" w:rsidP="000932F2">
            <w:pPr>
              <w:spacing w:after="0" w:line="240" w:lineRule="auto"/>
              <w:textAlignment w:val="baseline"/>
              <w:rPr>
                <w:rFonts w:ascii="Times New Roman" w:eastAsia="Times New Roman" w:hAnsi="Times New Roman" w:cs="Times New Roman"/>
                <w:kern w:val="0"/>
                <w:sz w:val="24"/>
                <w:szCs w:val="24"/>
                <w14:ligatures w14:val="none"/>
              </w:rPr>
            </w:pPr>
            <w:r>
              <w:rPr>
                <w:rFonts w:ascii="Calibri" w:eastAsia="Times New Roman" w:hAnsi="Calibri" w:cs="Calibri"/>
                <w:color w:val="000000"/>
                <w:kern w:val="0"/>
                <w14:ligatures w14:val="none"/>
              </w:rPr>
              <w:t>September</w:t>
            </w:r>
          </w:p>
        </w:tc>
        <w:tc>
          <w:tcPr>
            <w:tcW w:w="8265" w:type="dxa"/>
            <w:tcBorders>
              <w:top w:val="single" w:sz="6" w:space="0" w:color="auto"/>
              <w:left w:val="single" w:sz="6" w:space="0" w:color="auto"/>
              <w:bottom w:val="single" w:sz="6" w:space="0" w:color="auto"/>
              <w:right w:val="single" w:sz="6" w:space="0" w:color="auto"/>
            </w:tcBorders>
            <w:shd w:val="clear" w:color="auto" w:fill="E6CEFE"/>
            <w:hideMark/>
          </w:tcPr>
          <w:p w14:paraId="4F12FBC2" w14:textId="702F823C" w:rsidR="000932F2" w:rsidRDefault="000932F2" w:rsidP="000932F2">
            <w:pPr>
              <w:pStyle w:val="ListParagraph"/>
              <w:numPr>
                <w:ilvl w:val="0"/>
                <w:numId w:val="23"/>
              </w:numPr>
              <w:spacing w:after="0" w:line="240" w:lineRule="auto"/>
            </w:pPr>
            <w:r>
              <w:t xml:space="preserve">RIDE determines the LEAs that are required to demonstrate comparability based on a review of the Annual Ranking within the CRP application. </w:t>
            </w:r>
          </w:p>
          <w:p w14:paraId="35968AB6" w14:textId="712EAA9C" w:rsidR="000932F2" w:rsidRDefault="000932F2" w:rsidP="000932F2">
            <w:pPr>
              <w:pStyle w:val="ListParagraph"/>
              <w:numPr>
                <w:ilvl w:val="0"/>
                <w:numId w:val="23"/>
              </w:numPr>
              <w:spacing w:after="0" w:line="240" w:lineRule="auto"/>
            </w:pPr>
            <w:r>
              <w:t>LEAs with only one building or only one building for each grade span are not required to demonstrate comparability.</w:t>
            </w:r>
          </w:p>
          <w:p w14:paraId="7AC2FDAB" w14:textId="6B544759" w:rsidR="000932F2" w:rsidRPr="000932F2" w:rsidRDefault="000932F2" w:rsidP="000932F2">
            <w:pPr>
              <w:spacing w:after="0" w:line="240" w:lineRule="auto"/>
              <w:ind w:left="360"/>
              <w:textAlignment w:val="baseline"/>
              <w:rPr>
                <w:rFonts w:ascii="Times New Roman" w:eastAsia="Times New Roman" w:hAnsi="Times New Roman" w:cs="Times New Roman"/>
                <w:kern w:val="0"/>
                <w:sz w:val="24"/>
                <w:szCs w:val="24"/>
                <w14:ligatures w14:val="none"/>
              </w:rPr>
            </w:pPr>
          </w:p>
        </w:tc>
      </w:tr>
      <w:tr w:rsidR="000932F2" w:rsidRPr="000932F2" w14:paraId="64C4E8CF" w14:textId="77777777" w:rsidTr="000932F2">
        <w:trPr>
          <w:trHeight w:val="300"/>
        </w:trPr>
        <w:tc>
          <w:tcPr>
            <w:tcW w:w="2505" w:type="dxa"/>
            <w:tcBorders>
              <w:top w:val="single" w:sz="6" w:space="0" w:color="auto"/>
              <w:left w:val="single" w:sz="6" w:space="0" w:color="auto"/>
              <w:bottom w:val="single" w:sz="6" w:space="0" w:color="auto"/>
              <w:right w:val="single" w:sz="6" w:space="0" w:color="auto"/>
            </w:tcBorders>
            <w:shd w:val="clear" w:color="auto" w:fill="D9E2F3"/>
            <w:hideMark/>
          </w:tcPr>
          <w:p w14:paraId="4BA9AA98" w14:textId="2AA48343" w:rsidR="000932F2" w:rsidRPr="000932F2" w:rsidRDefault="000932F2" w:rsidP="000932F2">
            <w:pPr>
              <w:spacing w:after="0" w:line="240" w:lineRule="auto"/>
              <w:textAlignment w:val="baseline"/>
              <w:rPr>
                <w:rFonts w:ascii="Times New Roman" w:eastAsia="Times New Roman" w:hAnsi="Times New Roman" w:cs="Times New Roman"/>
                <w:kern w:val="0"/>
                <w:sz w:val="24"/>
                <w:szCs w:val="24"/>
                <w14:ligatures w14:val="none"/>
              </w:rPr>
            </w:pPr>
            <w:r>
              <w:rPr>
                <w:rFonts w:ascii="Calibri" w:eastAsia="Times New Roman" w:hAnsi="Calibri" w:cs="Calibri"/>
                <w:color w:val="000000"/>
                <w:kern w:val="0"/>
                <w14:ligatures w14:val="none"/>
              </w:rPr>
              <w:t>October</w:t>
            </w:r>
          </w:p>
        </w:tc>
        <w:tc>
          <w:tcPr>
            <w:tcW w:w="8265" w:type="dxa"/>
            <w:tcBorders>
              <w:top w:val="single" w:sz="6" w:space="0" w:color="auto"/>
              <w:left w:val="single" w:sz="6" w:space="0" w:color="auto"/>
              <w:bottom w:val="single" w:sz="6" w:space="0" w:color="auto"/>
              <w:right w:val="single" w:sz="6" w:space="0" w:color="auto"/>
            </w:tcBorders>
            <w:shd w:val="clear" w:color="auto" w:fill="D9E2F3"/>
            <w:hideMark/>
          </w:tcPr>
          <w:p w14:paraId="29D823CA" w14:textId="77777777" w:rsidR="000932F2" w:rsidRDefault="000932F2" w:rsidP="000932F2">
            <w:pPr>
              <w:pStyle w:val="ListParagraph"/>
              <w:numPr>
                <w:ilvl w:val="0"/>
                <w:numId w:val="24"/>
              </w:numPr>
              <w:spacing w:after="0"/>
            </w:pPr>
            <w:r>
              <w:t xml:space="preserve">RIDE offers technical assistance in meeting comparability requirements to the local Title I Directors of the LEAs that have been identified as having to demonstrate comparability. </w:t>
            </w:r>
          </w:p>
          <w:p w14:paraId="255273DE" w14:textId="7664B914" w:rsidR="000932F2" w:rsidRDefault="000932F2" w:rsidP="000932F2">
            <w:pPr>
              <w:pStyle w:val="ListParagraph"/>
              <w:numPr>
                <w:ilvl w:val="0"/>
                <w:numId w:val="24"/>
              </w:numPr>
              <w:spacing w:after="0"/>
            </w:pPr>
            <w:r>
              <w:t>Comparability reporting forms and instructions are communicated to the applicable LEAs.</w:t>
            </w:r>
          </w:p>
          <w:p w14:paraId="16D42CBC" w14:textId="77777777" w:rsidR="000932F2" w:rsidRPr="000932F2" w:rsidRDefault="000932F2" w:rsidP="000932F2">
            <w:pPr>
              <w:spacing w:after="0" w:line="240" w:lineRule="auto"/>
              <w:textAlignment w:val="baseline"/>
              <w:rPr>
                <w:rFonts w:ascii="Times New Roman" w:eastAsia="Times New Roman" w:hAnsi="Times New Roman" w:cs="Times New Roman"/>
                <w:kern w:val="0"/>
                <w:sz w:val="24"/>
                <w:szCs w:val="24"/>
                <w14:ligatures w14:val="none"/>
              </w:rPr>
            </w:pPr>
            <w:r w:rsidRPr="000932F2">
              <w:rPr>
                <w:rFonts w:ascii="Calibri" w:eastAsia="Times New Roman" w:hAnsi="Calibri" w:cs="Calibri"/>
                <w:color w:val="000000"/>
                <w:kern w:val="0"/>
                <w14:ligatures w14:val="none"/>
              </w:rPr>
              <w:t> </w:t>
            </w:r>
          </w:p>
        </w:tc>
      </w:tr>
      <w:tr w:rsidR="000932F2" w:rsidRPr="000932F2" w14:paraId="7B36EF3B" w14:textId="77777777" w:rsidTr="000932F2">
        <w:trPr>
          <w:trHeight w:val="300"/>
        </w:trPr>
        <w:tc>
          <w:tcPr>
            <w:tcW w:w="2505" w:type="dxa"/>
            <w:tcBorders>
              <w:top w:val="single" w:sz="6" w:space="0" w:color="auto"/>
              <w:left w:val="single" w:sz="6" w:space="0" w:color="auto"/>
              <w:bottom w:val="single" w:sz="6" w:space="0" w:color="auto"/>
              <w:right w:val="single" w:sz="6" w:space="0" w:color="auto"/>
            </w:tcBorders>
            <w:shd w:val="clear" w:color="auto" w:fill="E2EFD9"/>
            <w:hideMark/>
          </w:tcPr>
          <w:p w14:paraId="43C8B9D3" w14:textId="73EADB97" w:rsidR="000932F2" w:rsidRPr="000932F2" w:rsidRDefault="000932F2" w:rsidP="000932F2">
            <w:pPr>
              <w:spacing w:after="0" w:line="240" w:lineRule="auto"/>
              <w:textAlignment w:val="baseline"/>
              <w:rPr>
                <w:rFonts w:ascii="Times New Roman" w:eastAsia="Times New Roman" w:hAnsi="Times New Roman" w:cs="Times New Roman"/>
                <w:kern w:val="0"/>
                <w:sz w:val="24"/>
                <w:szCs w:val="24"/>
                <w14:ligatures w14:val="none"/>
              </w:rPr>
            </w:pPr>
            <w:r>
              <w:rPr>
                <w:rFonts w:ascii="Calibri" w:eastAsia="Times New Roman" w:hAnsi="Calibri" w:cs="Calibri"/>
                <w:color w:val="000000"/>
                <w:kern w:val="0"/>
                <w14:ligatures w14:val="none"/>
              </w:rPr>
              <w:t>November-December</w:t>
            </w:r>
            <w:r w:rsidRPr="000932F2">
              <w:rPr>
                <w:rFonts w:ascii="Calibri" w:eastAsia="Times New Roman" w:hAnsi="Calibri" w:cs="Calibri"/>
                <w:color w:val="000000"/>
                <w:kern w:val="0"/>
                <w14:ligatures w14:val="none"/>
              </w:rPr>
              <w:t> </w:t>
            </w:r>
          </w:p>
        </w:tc>
        <w:tc>
          <w:tcPr>
            <w:tcW w:w="8265" w:type="dxa"/>
            <w:tcBorders>
              <w:top w:val="single" w:sz="6" w:space="0" w:color="auto"/>
              <w:left w:val="single" w:sz="6" w:space="0" w:color="auto"/>
              <w:bottom w:val="single" w:sz="6" w:space="0" w:color="auto"/>
              <w:right w:val="single" w:sz="6" w:space="0" w:color="auto"/>
            </w:tcBorders>
            <w:shd w:val="clear" w:color="auto" w:fill="E2EFD9"/>
            <w:hideMark/>
          </w:tcPr>
          <w:p w14:paraId="54BEBA03" w14:textId="5C988080" w:rsidR="000932F2" w:rsidRDefault="000932F2" w:rsidP="00621321">
            <w:pPr>
              <w:pStyle w:val="ListParagraph"/>
              <w:numPr>
                <w:ilvl w:val="0"/>
                <w:numId w:val="25"/>
              </w:numPr>
              <w:spacing w:after="0"/>
            </w:pPr>
            <w:r>
              <w:t>Completed comparability forms are due to RIDE in November. RIDE annually confirms comparability calculations.</w:t>
            </w:r>
          </w:p>
          <w:p w14:paraId="33F2F901" w14:textId="640FC879" w:rsidR="000932F2" w:rsidRDefault="000932F2" w:rsidP="00621321">
            <w:pPr>
              <w:pStyle w:val="ListParagraph"/>
              <w:numPr>
                <w:ilvl w:val="0"/>
                <w:numId w:val="25"/>
              </w:numPr>
              <w:spacing w:after="0"/>
            </w:pPr>
            <w:r>
              <w:t xml:space="preserve">Collected comparability reports are reviewed to ensure that all reporting forms include signed </w:t>
            </w:r>
          </w:p>
          <w:p w14:paraId="0B477522" w14:textId="77777777" w:rsidR="000932F2" w:rsidRDefault="000932F2" w:rsidP="00621321">
            <w:pPr>
              <w:pStyle w:val="ListParagraph"/>
              <w:numPr>
                <w:ilvl w:val="0"/>
                <w:numId w:val="25"/>
              </w:numPr>
              <w:spacing w:after="0"/>
            </w:pPr>
            <w:r>
              <w:t xml:space="preserve">written assurances. RIDE further reviews the reporting forms to ensure that all required schools </w:t>
            </w:r>
          </w:p>
          <w:p w14:paraId="4F653DB1" w14:textId="77777777" w:rsidR="000932F2" w:rsidRDefault="000932F2" w:rsidP="00621321">
            <w:pPr>
              <w:pStyle w:val="ListParagraph"/>
              <w:numPr>
                <w:ilvl w:val="0"/>
                <w:numId w:val="25"/>
              </w:numPr>
              <w:spacing w:after="0"/>
            </w:pPr>
            <w:r>
              <w:t xml:space="preserve">as identified in the Annual Ranking, including “skipped” schools, are included in the LEA’s </w:t>
            </w:r>
          </w:p>
          <w:p w14:paraId="79FC8CCF" w14:textId="77777777" w:rsidR="000932F2" w:rsidRDefault="000932F2" w:rsidP="00621321">
            <w:pPr>
              <w:pStyle w:val="ListParagraph"/>
              <w:numPr>
                <w:ilvl w:val="0"/>
                <w:numId w:val="25"/>
              </w:numPr>
              <w:spacing w:after="0"/>
            </w:pPr>
            <w:r>
              <w:t>comparability calculations.</w:t>
            </w:r>
          </w:p>
          <w:p w14:paraId="75465C42" w14:textId="77777777" w:rsidR="00621321" w:rsidRDefault="000932F2" w:rsidP="000932F2">
            <w:pPr>
              <w:pStyle w:val="ListParagraph"/>
              <w:numPr>
                <w:ilvl w:val="0"/>
                <w:numId w:val="25"/>
              </w:numPr>
              <w:spacing w:after="0"/>
            </w:pPr>
            <w:r>
              <w:t>Ongoing support is provided to any LEA that is unable to determine comparability.</w:t>
            </w:r>
            <w:r w:rsidR="00621321">
              <w:t xml:space="preserve"> </w:t>
            </w:r>
            <w:r>
              <w:t xml:space="preserve">RIDE works with </w:t>
            </w:r>
            <w:proofErr w:type="gramStart"/>
            <w:r>
              <w:t>an</w:t>
            </w:r>
            <w:proofErr w:type="gramEnd"/>
            <w:r>
              <w:t xml:space="preserve"> LEA that is unable to initially </w:t>
            </w:r>
            <w:r>
              <w:lastRenderedPageBreak/>
              <w:t>demonstrate comparability to first ensure that all allowable exclusions have been exhausted. Allowable exclusions include State and local funds expended for programs that meet the intent and purposes of Title I Part A, for language instruction educational programs, and for the excess costs of providing services to children with disabilities. Any exclusions taken must be taken consistently across all schools.</w:t>
            </w:r>
          </w:p>
          <w:p w14:paraId="788D7C63" w14:textId="77777777" w:rsidR="00EF3E3A" w:rsidRDefault="000932F2" w:rsidP="000932F2">
            <w:pPr>
              <w:pStyle w:val="ListParagraph"/>
              <w:numPr>
                <w:ilvl w:val="0"/>
                <w:numId w:val="25"/>
              </w:numPr>
              <w:spacing w:after="0"/>
            </w:pPr>
            <w:r>
              <w:t xml:space="preserve">If an LEA continues to be unable to demonstrate comparability after exhausting all allowable </w:t>
            </w:r>
            <w:r w:rsidR="00621321">
              <w:t>e</w:t>
            </w:r>
            <w:r>
              <w:t xml:space="preserve">xclusions, then it is required to make appropriate staffing adjustments. </w:t>
            </w:r>
          </w:p>
          <w:p w14:paraId="3545E0FD" w14:textId="77777777" w:rsidR="00EF3E3A" w:rsidRDefault="00EF3E3A" w:rsidP="00EF3E3A">
            <w:pPr>
              <w:pStyle w:val="ListParagraph"/>
              <w:spacing w:after="0"/>
            </w:pPr>
          </w:p>
          <w:p w14:paraId="20A87FAE" w14:textId="7A7B8E7D" w:rsidR="000932F2" w:rsidRPr="000932F2" w:rsidRDefault="00EF3E3A" w:rsidP="00EF3E3A">
            <w:pPr>
              <w:spacing w:after="0"/>
            </w:pPr>
            <w:r>
              <w:t>*</w:t>
            </w:r>
            <w:r w:rsidR="000932F2">
              <w:t xml:space="preserve">RIDE </w:t>
            </w:r>
            <w:r>
              <w:t>will provide any</w:t>
            </w:r>
            <w:r w:rsidR="000932F2">
              <w:t xml:space="preserve"> </w:t>
            </w:r>
            <w:r w:rsidR="00621321">
              <w:t>t</w:t>
            </w:r>
            <w:r w:rsidR="000932F2">
              <w:t>echnical assistance needed to the LEA so that all schools are brought into compliance with comparability requirements by December 31st to ensure minimal disruption</w:t>
            </w:r>
            <w:r>
              <w:t xml:space="preserve"> to service delivery</w:t>
            </w:r>
            <w:r w:rsidR="000932F2">
              <w:t xml:space="preserve"> during the school </w:t>
            </w:r>
            <w:r>
              <w:t>y</w:t>
            </w:r>
            <w:r w:rsidR="000932F2">
              <w:t>ear.</w:t>
            </w:r>
          </w:p>
        </w:tc>
      </w:tr>
      <w:tr w:rsidR="000932F2" w:rsidRPr="000932F2" w14:paraId="2B77C0D5" w14:textId="77777777" w:rsidTr="000932F2">
        <w:trPr>
          <w:trHeight w:val="300"/>
        </w:trPr>
        <w:tc>
          <w:tcPr>
            <w:tcW w:w="2505" w:type="dxa"/>
            <w:tcBorders>
              <w:top w:val="single" w:sz="6" w:space="0" w:color="auto"/>
              <w:left w:val="single" w:sz="6" w:space="0" w:color="auto"/>
              <w:bottom w:val="single" w:sz="6" w:space="0" w:color="auto"/>
              <w:right w:val="single" w:sz="6" w:space="0" w:color="auto"/>
            </w:tcBorders>
            <w:shd w:val="clear" w:color="auto" w:fill="FBE4D5"/>
            <w:hideMark/>
          </w:tcPr>
          <w:p w14:paraId="0584A40C" w14:textId="522B97A7" w:rsidR="000932F2" w:rsidRPr="000932F2" w:rsidRDefault="000932F2" w:rsidP="000932F2">
            <w:pPr>
              <w:spacing w:after="0" w:line="240" w:lineRule="auto"/>
              <w:textAlignment w:val="baseline"/>
              <w:rPr>
                <w:rFonts w:ascii="Times New Roman" w:eastAsia="Times New Roman" w:hAnsi="Times New Roman" w:cs="Times New Roman"/>
                <w:kern w:val="0"/>
                <w:sz w:val="24"/>
                <w:szCs w:val="24"/>
                <w14:ligatures w14:val="none"/>
              </w:rPr>
            </w:pPr>
            <w:r>
              <w:rPr>
                <w:rFonts w:ascii="Calibri" w:eastAsia="Times New Roman" w:hAnsi="Calibri" w:cs="Calibri"/>
                <w:color w:val="000000"/>
                <w:kern w:val="0"/>
                <w14:ligatures w14:val="none"/>
              </w:rPr>
              <w:lastRenderedPageBreak/>
              <w:t>Tip-Looking Ahead</w:t>
            </w:r>
          </w:p>
        </w:tc>
        <w:tc>
          <w:tcPr>
            <w:tcW w:w="8265" w:type="dxa"/>
            <w:tcBorders>
              <w:top w:val="single" w:sz="6" w:space="0" w:color="auto"/>
              <w:left w:val="single" w:sz="6" w:space="0" w:color="auto"/>
              <w:bottom w:val="single" w:sz="6" w:space="0" w:color="auto"/>
              <w:right w:val="single" w:sz="6" w:space="0" w:color="auto"/>
            </w:tcBorders>
            <w:shd w:val="clear" w:color="auto" w:fill="FBE4D5"/>
            <w:hideMark/>
          </w:tcPr>
          <w:p w14:paraId="51F3DA8A" w14:textId="1595CC61" w:rsidR="000932F2" w:rsidRDefault="000932F2" w:rsidP="000932F2">
            <w:r>
              <w:t xml:space="preserve">LEAS should carefully review their LEA staffing plan in the spring and </w:t>
            </w:r>
            <w:proofErr w:type="gramStart"/>
            <w:r>
              <w:t>summer  as</w:t>
            </w:r>
            <w:proofErr w:type="gramEnd"/>
            <w:r>
              <w:t xml:space="preserve"> budgets and LEA plans</w:t>
            </w:r>
            <w:r w:rsidR="00621321">
              <w:t xml:space="preserve"> are developed</w:t>
            </w:r>
            <w:r>
              <w:t xml:space="preserve"> to ensure be</w:t>
            </w:r>
            <w:r w:rsidR="00621321">
              <w:t>ing able</w:t>
            </w:r>
            <w:r>
              <w:t xml:space="preserve"> able to demonstrate compliance </w:t>
            </w:r>
            <w:proofErr w:type="gramStart"/>
            <w:r>
              <w:t>to</w:t>
            </w:r>
            <w:proofErr w:type="gramEnd"/>
            <w:r>
              <w:t xml:space="preserve"> RIDE for this requirement</w:t>
            </w:r>
            <w:r w:rsidR="00621321">
              <w:t xml:space="preserve"> in the subsequent year</w:t>
            </w:r>
            <w:r>
              <w:t>.</w:t>
            </w:r>
          </w:p>
          <w:p w14:paraId="33645759" w14:textId="514CDE1D" w:rsidR="000932F2" w:rsidRPr="000932F2" w:rsidRDefault="000932F2" w:rsidP="000932F2">
            <w:pPr>
              <w:spacing w:after="0" w:line="240" w:lineRule="auto"/>
              <w:textAlignment w:val="baseline"/>
              <w:rPr>
                <w:rFonts w:ascii="Calibri" w:eastAsia="Times New Roman" w:hAnsi="Calibri" w:cs="Calibri"/>
                <w:kern w:val="0"/>
                <w14:ligatures w14:val="none"/>
              </w:rPr>
            </w:pPr>
          </w:p>
        </w:tc>
      </w:tr>
    </w:tbl>
    <w:p w14:paraId="3D2E0B0C" w14:textId="77777777" w:rsidR="003C6A9A" w:rsidRDefault="003C6A9A" w:rsidP="00181854"/>
    <w:p w14:paraId="56D7D824" w14:textId="77777777" w:rsidR="003C6A9A" w:rsidRDefault="003C6A9A" w:rsidP="00181854"/>
    <w:p w14:paraId="39B01EB8" w14:textId="276A75E2" w:rsidR="00B9765C" w:rsidRPr="00E55427" w:rsidRDefault="006B3645" w:rsidP="00CC6FA2">
      <w:pPr>
        <w:rPr>
          <w:b/>
          <w:bCs/>
          <w:sz w:val="24"/>
          <w:szCs w:val="24"/>
        </w:rPr>
      </w:pPr>
      <w:r w:rsidRPr="00E55427">
        <w:rPr>
          <w:b/>
          <w:bCs/>
          <w:sz w:val="24"/>
          <w:szCs w:val="24"/>
        </w:rPr>
        <w:t>Documentation</w:t>
      </w:r>
      <w:r w:rsidR="00BF0ECD" w:rsidRPr="00E55427">
        <w:rPr>
          <w:b/>
          <w:bCs/>
          <w:sz w:val="24"/>
          <w:szCs w:val="24"/>
        </w:rPr>
        <w:t xml:space="preserve"> checklist</w:t>
      </w:r>
      <w:r w:rsidRPr="00E55427">
        <w:rPr>
          <w:b/>
          <w:bCs/>
          <w:sz w:val="24"/>
          <w:szCs w:val="24"/>
        </w:rPr>
        <w:t xml:space="preserve"> to maintain on file to back-up the </w:t>
      </w:r>
      <w:r w:rsidR="008B5731" w:rsidRPr="00E55427">
        <w:rPr>
          <w:b/>
          <w:bCs/>
          <w:sz w:val="24"/>
          <w:szCs w:val="24"/>
        </w:rPr>
        <w:t>Comparability</w:t>
      </w:r>
      <w:r w:rsidRPr="00E55427">
        <w:rPr>
          <w:b/>
          <w:bCs/>
          <w:sz w:val="24"/>
          <w:szCs w:val="24"/>
        </w:rPr>
        <w:t xml:space="preserve"> report and for future </w:t>
      </w:r>
      <w:r w:rsidR="008B5731" w:rsidRPr="00E55427">
        <w:rPr>
          <w:b/>
          <w:bCs/>
          <w:sz w:val="24"/>
          <w:szCs w:val="24"/>
        </w:rPr>
        <w:t>monitoring</w:t>
      </w:r>
      <w:r w:rsidRPr="00E55427">
        <w:rPr>
          <w:b/>
          <w:bCs/>
          <w:sz w:val="24"/>
          <w:szCs w:val="24"/>
        </w:rPr>
        <w:t xml:space="preserve"> </w:t>
      </w:r>
    </w:p>
    <w:p w14:paraId="106D35C0" w14:textId="0783C0D0" w:rsidR="00DD0295" w:rsidRDefault="00E55A7E" w:rsidP="00B9765C">
      <w:sdt>
        <w:sdtPr>
          <w:id w:val="-675802918"/>
          <w14:checkbox>
            <w14:checked w14:val="0"/>
            <w14:checkedState w14:val="2612" w14:font="MS Gothic"/>
            <w14:uncheckedState w14:val="2610" w14:font="MS Gothic"/>
          </w14:checkbox>
        </w:sdtPr>
        <w:sdtEndPr/>
        <w:sdtContent>
          <w:r w:rsidR="00BF0ECD" w:rsidRPr="003C6A9A">
            <w:rPr>
              <w:rFonts w:ascii="MS Gothic" w:eastAsia="MS Gothic" w:hAnsi="MS Gothic" w:hint="eastAsia"/>
            </w:rPr>
            <w:t>☐</w:t>
          </w:r>
        </w:sdtContent>
      </w:sdt>
      <w:r w:rsidR="00B9765C" w:rsidRPr="003C6A9A">
        <w:t>A copy of the comparability report submission to RIDE which demonstrates the LEA has met Title I comparability requirements</w:t>
      </w:r>
    </w:p>
    <w:p w14:paraId="5D293AA3" w14:textId="10B1DB07" w:rsidR="001D3866" w:rsidRDefault="00E55A7E" w:rsidP="001D3866">
      <w:pPr>
        <w:spacing w:line="216" w:lineRule="auto"/>
        <w:contextualSpacing/>
        <w:rPr>
          <w:rFonts w:ascii="Times New Roman" w:eastAsia="Times New Roman" w:hAnsi="Times New Roman" w:cs="Times New Roman"/>
          <w:color w:val="000000"/>
          <w:kern w:val="0"/>
          <w14:ligatures w14:val="none"/>
        </w:rPr>
      </w:pPr>
      <w:sdt>
        <w:sdtPr>
          <w:rPr>
            <w:rFonts w:ascii="Calibri" w:eastAsiaTheme="minorEastAsia" w:hAnsi="Calibri" w:cs="Calibri"/>
            <w:color w:val="000000"/>
            <w:kern w:val="24"/>
            <w14:ligatures w14:val="none"/>
          </w:rPr>
          <w:id w:val="246779011"/>
          <w14:checkbox>
            <w14:checked w14:val="0"/>
            <w14:checkedState w14:val="2612" w14:font="MS Gothic"/>
            <w14:uncheckedState w14:val="2610" w14:font="MS Gothic"/>
          </w14:checkbox>
        </w:sdtPr>
        <w:sdtEndPr/>
        <w:sdtContent>
          <w:r w:rsidR="001D3866">
            <w:rPr>
              <w:rFonts w:ascii="MS Gothic" w:eastAsia="MS Gothic" w:hAnsi="MS Gothic" w:cs="Calibri" w:hint="eastAsia"/>
              <w:color w:val="000000"/>
              <w:kern w:val="24"/>
              <w14:ligatures w14:val="none"/>
            </w:rPr>
            <w:t>☐</w:t>
          </w:r>
        </w:sdtContent>
      </w:sdt>
      <w:r w:rsidR="001D3866" w:rsidRPr="001D3866">
        <w:rPr>
          <w:rFonts w:ascii="Calibri" w:eastAsiaTheme="minorEastAsia" w:hAnsi="Calibri" w:cs="Calibri"/>
          <w:color w:val="000000"/>
          <w:kern w:val="24"/>
          <w14:ligatures w14:val="none"/>
        </w:rPr>
        <w:t xml:space="preserve">LEA </w:t>
      </w:r>
      <w:r w:rsidR="001D3866" w:rsidRPr="001D3866">
        <w:rPr>
          <w:rFonts w:ascii="Calibri" w:eastAsiaTheme="minorEastAsia" w:hAnsi="Calibri" w:cs="Calibri"/>
          <w:b/>
          <w:bCs/>
          <w:color w:val="000000"/>
          <w:kern w:val="24"/>
          <w:u w:val="single"/>
          <w14:ligatures w14:val="none"/>
        </w:rPr>
        <w:t>written</w:t>
      </w:r>
      <w:r w:rsidR="001D3866" w:rsidRPr="001D3866">
        <w:rPr>
          <w:rFonts w:ascii="Calibri" w:eastAsiaTheme="minorEastAsia" w:hAnsi="Calibri" w:cs="Calibri"/>
          <w:color w:val="000000"/>
          <w:kern w:val="24"/>
          <w14:ligatures w14:val="none"/>
        </w:rPr>
        <w:t xml:space="preserve"> procedures for </w:t>
      </w:r>
      <w:r w:rsidR="009F14F9">
        <w:rPr>
          <w:rFonts w:ascii="Calibri" w:eastAsiaTheme="minorEastAsia" w:hAnsi="Calibri" w:cs="Calibri"/>
          <w:color w:val="000000"/>
          <w:kern w:val="24"/>
          <w14:ligatures w14:val="none"/>
        </w:rPr>
        <w:t xml:space="preserve">how it will complete the </w:t>
      </w:r>
      <w:r w:rsidR="001D3866" w:rsidRPr="001D3866">
        <w:rPr>
          <w:rFonts w:ascii="Calibri" w:eastAsiaTheme="minorEastAsia" w:hAnsi="Calibri" w:cs="Calibri"/>
          <w:color w:val="000000"/>
          <w:kern w:val="24"/>
          <w14:ligatures w14:val="none"/>
        </w:rPr>
        <w:t>comparability process</w:t>
      </w:r>
    </w:p>
    <w:p w14:paraId="253EDA93" w14:textId="77777777" w:rsidR="001D3866" w:rsidRPr="001D3866" w:rsidRDefault="001D3866" w:rsidP="001D3866">
      <w:pPr>
        <w:spacing w:line="216" w:lineRule="auto"/>
        <w:contextualSpacing/>
        <w:rPr>
          <w:rFonts w:ascii="Times New Roman" w:eastAsia="Times New Roman" w:hAnsi="Times New Roman" w:cs="Times New Roman"/>
          <w:color w:val="000000"/>
          <w:kern w:val="0"/>
          <w14:ligatures w14:val="none"/>
        </w:rPr>
      </w:pPr>
    </w:p>
    <w:p w14:paraId="0A8D2C40" w14:textId="2EF8B1EC" w:rsidR="003C6A9A" w:rsidRPr="003C6A9A" w:rsidRDefault="00E55A7E" w:rsidP="00B9765C">
      <w:sdt>
        <w:sdtPr>
          <w:id w:val="-1638796414"/>
          <w14:checkbox>
            <w14:checked w14:val="0"/>
            <w14:checkedState w14:val="2612" w14:font="MS Gothic"/>
            <w14:uncheckedState w14:val="2610" w14:font="MS Gothic"/>
          </w14:checkbox>
        </w:sdtPr>
        <w:sdtEndPr/>
        <w:sdtContent>
          <w:r w:rsidR="003C6A9A" w:rsidRPr="003C6A9A">
            <w:rPr>
              <w:rFonts w:ascii="MS Gothic" w:eastAsia="MS Gothic" w:hAnsi="MS Gothic" w:hint="eastAsia"/>
            </w:rPr>
            <w:t>☐</w:t>
          </w:r>
        </w:sdtContent>
      </w:sdt>
      <w:r w:rsidR="009F14F9">
        <w:t>Written a</w:t>
      </w:r>
      <w:r w:rsidR="003C6A9A" w:rsidRPr="003C6A9A">
        <w:t>ssurances that the LEA has established and implemented a district-wide salary schedule and policies to ensure equivalence among schools in staffing and in the provision of materials and supplies</w:t>
      </w:r>
    </w:p>
    <w:p w14:paraId="49338077" w14:textId="40D1AE4C" w:rsidR="00DD0295" w:rsidRPr="003C6A9A" w:rsidRDefault="00E55A7E" w:rsidP="00B9765C">
      <w:sdt>
        <w:sdtPr>
          <w:id w:val="-1542430331"/>
          <w14:checkbox>
            <w14:checked w14:val="0"/>
            <w14:checkedState w14:val="2612" w14:font="MS Gothic"/>
            <w14:uncheckedState w14:val="2610" w14:font="MS Gothic"/>
          </w14:checkbox>
        </w:sdtPr>
        <w:sdtEndPr/>
        <w:sdtContent>
          <w:r w:rsidR="00DD0295" w:rsidRPr="003C6A9A">
            <w:rPr>
              <w:rFonts w:ascii="MS Gothic" w:eastAsia="MS Gothic" w:hAnsi="MS Gothic" w:hint="eastAsia"/>
            </w:rPr>
            <w:t>☐</w:t>
          </w:r>
        </w:sdtContent>
      </w:sdt>
      <w:r w:rsidR="00B9765C" w:rsidRPr="003C6A9A">
        <w:t>Source documentation to support the LEA’s comparability calculations, including:</w:t>
      </w:r>
    </w:p>
    <w:p w14:paraId="0498CE28" w14:textId="4D8804F2" w:rsidR="00B9765C" w:rsidRPr="003C6A9A" w:rsidRDefault="00E55A7E" w:rsidP="00B9765C">
      <w:sdt>
        <w:sdtPr>
          <w:id w:val="1308827252"/>
          <w14:checkbox>
            <w14:checked w14:val="0"/>
            <w14:checkedState w14:val="2612" w14:font="MS Gothic"/>
            <w14:uncheckedState w14:val="2610" w14:font="MS Gothic"/>
          </w14:checkbox>
        </w:sdtPr>
        <w:sdtEndPr/>
        <w:sdtContent>
          <w:r w:rsidR="00DD0295" w:rsidRPr="003C6A9A">
            <w:rPr>
              <w:rFonts w:ascii="MS Gothic" w:eastAsia="MS Gothic" w:hAnsi="MS Gothic" w:hint="eastAsia"/>
            </w:rPr>
            <w:t>☐</w:t>
          </w:r>
        </w:sdtContent>
      </w:sdt>
      <w:r w:rsidR="00B9765C" w:rsidRPr="003C6A9A">
        <w:t>Human Resource and fiscal records to show instructional staff assignment by school, FTE equivalents, and funding source,</w:t>
      </w:r>
    </w:p>
    <w:p w14:paraId="75298A7A" w14:textId="357EED61" w:rsidR="00B9765C" w:rsidRPr="003C6A9A" w:rsidRDefault="00E55A7E" w:rsidP="00B9765C">
      <w:sdt>
        <w:sdtPr>
          <w:id w:val="-307936867"/>
          <w14:checkbox>
            <w14:checked w14:val="0"/>
            <w14:checkedState w14:val="2612" w14:font="MS Gothic"/>
            <w14:uncheckedState w14:val="2610" w14:font="MS Gothic"/>
          </w14:checkbox>
        </w:sdtPr>
        <w:sdtEndPr/>
        <w:sdtContent>
          <w:r w:rsidR="00DD0295" w:rsidRPr="003C6A9A">
            <w:rPr>
              <w:rFonts w:ascii="MS Gothic" w:eastAsia="MS Gothic" w:hAnsi="MS Gothic" w:hint="eastAsia"/>
            </w:rPr>
            <w:t>☐</w:t>
          </w:r>
        </w:sdtContent>
      </w:sdt>
      <w:r w:rsidR="00B9765C" w:rsidRPr="003C6A9A">
        <w:t>Enrollment data by school collected from one consistent point in time,</w:t>
      </w:r>
    </w:p>
    <w:p w14:paraId="55B26221" w14:textId="44AE955B" w:rsidR="00B9765C" w:rsidRPr="003C6A9A" w:rsidRDefault="00E55A7E" w:rsidP="00B9765C">
      <w:sdt>
        <w:sdtPr>
          <w:id w:val="-1078898174"/>
          <w14:checkbox>
            <w14:checked w14:val="0"/>
            <w14:checkedState w14:val="2612" w14:font="MS Gothic"/>
            <w14:uncheckedState w14:val="2610" w14:font="MS Gothic"/>
          </w14:checkbox>
        </w:sdtPr>
        <w:sdtEndPr/>
        <w:sdtContent>
          <w:r w:rsidR="00DD0295" w:rsidRPr="003C6A9A">
            <w:rPr>
              <w:rFonts w:ascii="MS Gothic" w:eastAsia="MS Gothic" w:hAnsi="MS Gothic" w:hint="eastAsia"/>
            </w:rPr>
            <w:t>☐</w:t>
          </w:r>
        </w:sdtContent>
      </w:sdt>
      <w:r w:rsidR="00B9765C" w:rsidRPr="003C6A9A">
        <w:t>Fiscal and program documentation for any exclusions taken</w:t>
      </w:r>
      <w:r w:rsidR="00DD0295" w:rsidRPr="003C6A9A">
        <w:t xml:space="preserve"> (if applicable),</w:t>
      </w:r>
    </w:p>
    <w:p w14:paraId="376B76E9" w14:textId="2E61F158" w:rsidR="00B9765C" w:rsidRPr="003C6A9A" w:rsidRDefault="00E55A7E" w:rsidP="00B9765C">
      <w:sdt>
        <w:sdtPr>
          <w:id w:val="1563296764"/>
          <w14:checkbox>
            <w14:checked w14:val="0"/>
            <w14:checkedState w14:val="2612" w14:font="MS Gothic"/>
            <w14:uncheckedState w14:val="2610" w14:font="MS Gothic"/>
          </w14:checkbox>
        </w:sdtPr>
        <w:sdtEndPr/>
        <w:sdtContent>
          <w:r w:rsidR="00DD0295" w:rsidRPr="003C6A9A">
            <w:rPr>
              <w:rFonts w:ascii="MS Gothic" w:eastAsia="MS Gothic" w:hAnsi="MS Gothic" w:hint="eastAsia"/>
            </w:rPr>
            <w:t>☐</w:t>
          </w:r>
        </w:sdtContent>
      </w:sdt>
      <w:r w:rsidR="00B9765C" w:rsidRPr="003C6A9A">
        <w:t xml:space="preserve">In cases where Title I schools were </w:t>
      </w:r>
      <w:r w:rsidR="00B9765C" w:rsidRPr="003C6A9A">
        <w:rPr>
          <w:u w:val="single"/>
        </w:rPr>
        <w:t>not comparable</w:t>
      </w:r>
      <w:r w:rsidR="00B9765C" w:rsidRPr="003C6A9A">
        <w:t xml:space="preserve">, records of staffing adjustments </w:t>
      </w:r>
      <w:proofErr w:type="gramStart"/>
      <w:r w:rsidR="00B9765C" w:rsidRPr="003C6A9A">
        <w:t>made</w:t>
      </w:r>
      <w:proofErr w:type="gramEnd"/>
      <w:r w:rsidR="00B9765C" w:rsidRPr="003C6A9A">
        <w:t xml:space="preserve"> by the LEA to ensure comparability</w:t>
      </w:r>
      <w:r w:rsidR="00E55427">
        <w:t>.</w:t>
      </w:r>
    </w:p>
    <w:p w14:paraId="77375365" w14:textId="77777777" w:rsidR="00B9765C" w:rsidRPr="00B9765C" w:rsidRDefault="00B9765C" w:rsidP="00B9765C">
      <w:pPr>
        <w:rPr>
          <w:b/>
          <w:bCs/>
        </w:rPr>
      </w:pPr>
    </w:p>
    <w:p w14:paraId="208746F9" w14:textId="77777777" w:rsidR="00B9765C" w:rsidRPr="00B9765C" w:rsidRDefault="00B9765C" w:rsidP="00B9765C">
      <w:pPr>
        <w:rPr>
          <w:b/>
          <w:bCs/>
        </w:rPr>
      </w:pPr>
    </w:p>
    <w:p w14:paraId="2BEA19A5" w14:textId="77777777" w:rsidR="00B9765C" w:rsidRPr="008B5731" w:rsidRDefault="00B9765C" w:rsidP="00CC6FA2">
      <w:pPr>
        <w:rPr>
          <w:b/>
          <w:bCs/>
        </w:rPr>
      </w:pPr>
    </w:p>
    <w:p w14:paraId="359BCE16" w14:textId="77777777" w:rsidR="00E3311D" w:rsidRDefault="00E3311D" w:rsidP="00CC6FA2"/>
    <w:sectPr w:rsidR="00E3311D" w:rsidSect="00687C30">
      <w:pgSz w:w="12240" w:h="15840"/>
      <w:pgMar w:top="27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F7609"/>
    <w:multiLevelType w:val="hybridMultilevel"/>
    <w:tmpl w:val="524C9D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97637"/>
    <w:multiLevelType w:val="multilevel"/>
    <w:tmpl w:val="E3DAC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3B5188"/>
    <w:multiLevelType w:val="multilevel"/>
    <w:tmpl w:val="342E1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2D3980"/>
    <w:multiLevelType w:val="hybridMultilevel"/>
    <w:tmpl w:val="4ED6F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A233A9"/>
    <w:multiLevelType w:val="hybridMultilevel"/>
    <w:tmpl w:val="56766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E31A9F"/>
    <w:multiLevelType w:val="multilevel"/>
    <w:tmpl w:val="FE103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5B60C2B"/>
    <w:multiLevelType w:val="multilevel"/>
    <w:tmpl w:val="20466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3BA5CF8"/>
    <w:multiLevelType w:val="multilevel"/>
    <w:tmpl w:val="9A3C7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E857279"/>
    <w:multiLevelType w:val="multilevel"/>
    <w:tmpl w:val="B8CCF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44C74D6"/>
    <w:multiLevelType w:val="multilevel"/>
    <w:tmpl w:val="FE084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8EF616C"/>
    <w:multiLevelType w:val="multilevel"/>
    <w:tmpl w:val="7CD2F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A9116FE"/>
    <w:multiLevelType w:val="hybridMultilevel"/>
    <w:tmpl w:val="A6E8B5A0"/>
    <w:lvl w:ilvl="0" w:tplc="4B0C8E28">
      <w:start w:val="1"/>
      <w:numFmt w:val="bullet"/>
      <w:lvlText w:val=""/>
      <w:lvlJc w:val="left"/>
      <w:pPr>
        <w:tabs>
          <w:tab w:val="num" w:pos="720"/>
        </w:tabs>
        <w:ind w:left="720" w:hanging="360"/>
      </w:pPr>
      <w:rPr>
        <w:rFonts w:ascii="Wingdings" w:hAnsi="Wingdings" w:hint="default"/>
      </w:rPr>
    </w:lvl>
    <w:lvl w:ilvl="1" w:tplc="03BCC4C0" w:tentative="1">
      <w:start w:val="1"/>
      <w:numFmt w:val="bullet"/>
      <w:lvlText w:val=""/>
      <w:lvlJc w:val="left"/>
      <w:pPr>
        <w:tabs>
          <w:tab w:val="num" w:pos="1440"/>
        </w:tabs>
        <w:ind w:left="1440" w:hanging="360"/>
      </w:pPr>
      <w:rPr>
        <w:rFonts w:ascii="Wingdings" w:hAnsi="Wingdings" w:hint="default"/>
      </w:rPr>
    </w:lvl>
    <w:lvl w:ilvl="2" w:tplc="7C068260" w:tentative="1">
      <w:start w:val="1"/>
      <w:numFmt w:val="bullet"/>
      <w:lvlText w:val=""/>
      <w:lvlJc w:val="left"/>
      <w:pPr>
        <w:tabs>
          <w:tab w:val="num" w:pos="2160"/>
        </w:tabs>
        <w:ind w:left="2160" w:hanging="360"/>
      </w:pPr>
      <w:rPr>
        <w:rFonts w:ascii="Wingdings" w:hAnsi="Wingdings" w:hint="default"/>
      </w:rPr>
    </w:lvl>
    <w:lvl w:ilvl="3" w:tplc="3A485DE4" w:tentative="1">
      <w:start w:val="1"/>
      <w:numFmt w:val="bullet"/>
      <w:lvlText w:val=""/>
      <w:lvlJc w:val="left"/>
      <w:pPr>
        <w:tabs>
          <w:tab w:val="num" w:pos="2880"/>
        </w:tabs>
        <w:ind w:left="2880" w:hanging="360"/>
      </w:pPr>
      <w:rPr>
        <w:rFonts w:ascii="Wingdings" w:hAnsi="Wingdings" w:hint="default"/>
      </w:rPr>
    </w:lvl>
    <w:lvl w:ilvl="4" w:tplc="7C6CBFB2" w:tentative="1">
      <w:start w:val="1"/>
      <w:numFmt w:val="bullet"/>
      <w:lvlText w:val=""/>
      <w:lvlJc w:val="left"/>
      <w:pPr>
        <w:tabs>
          <w:tab w:val="num" w:pos="3600"/>
        </w:tabs>
        <w:ind w:left="3600" w:hanging="360"/>
      </w:pPr>
      <w:rPr>
        <w:rFonts w:ascii="Wingdings" w:hAnsi="Wingdings" w:hint="default"/>
      </w:rPr>
    </w:lvl>
    <w:lvl w:ilvl="5" w:tplc="845401A0" w:tentative="1">
      <w:start w:val="1"/>
      <w:numFmt w:val="bullet"/>
      <w:lvlText w:val=""/>
      <w:lvlJc w:val="left"/>
      <w:pPr>
        <w:tabs>
          <w:tab w:val="num" w:pos="4320"/>
        </w:tabs>
        <w:ind w:left="4320" w:hanging="360"/>
      </w:pPr>
      <w:rPr>
        <w:rFonts w:ascii="Wingdings" w:hAnsi="Wingdings" w:hint="default"/>
      </w:rPr>
    </w:lvl>
    <w:lvl w:ilvl="6" w:tplc="D0BA02AE" w:tentative="1">
      <w:start w:val="1"/>
      <w:numFmt w:val="bullet"/>
      <w:lvlText w:val=""/>
      <w:lvlJc w:val="left"/>
      <w:pPr>
        <w:tabs>
          <w:tab w:val="num" w:pos="5040"/>
        </w:tabs>
        <w:ind w:left="5040" w:hanging="360"/>
      </w:pPr>
      <w:rPr>
        <w:rFonts w:ascii="Wingdings" w:hAnsi="Wingdings" w:hint="default"/>
      </w:rPr>
    </w:lvl>
    <w:lvl w:ilvl="7" w:tplc="1070E2F8" w:tentative="1">
      <w:start w:val="1"/>
      <w:numFmt w:val="bullet"/>
      <w:lvlText w:val=""/>
      <w:lvlJc w:val="left"/>
      <w:pPr>
        <w:tabs>
          <w:tab w:val="num" w:pos="5760"/>
        </w:tabs>
        <w:ind w:left="5760" w:hanging="360"/>
      </w:pPr>
      <w:rPr>
        <w:rFonts w:ascii="Wingdings" w:hAnsi="Wingdings" w:hint="default"/>
      </w:rPr>
    </w:lvl>
    <w:lvl w:ilvl="8" w:tplc="E2A8CE9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57D1E08"/>
    <w:multiLevelType w:val="multilevel"/>
    <w:tmpl w:val="8B4C4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F4F6191"/>
    <w:multiLevelType w:val="hybridMultilevel"/>
    <w:tmpl w:val="60B67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2D15EBF"/>
    <w:multiLevelType w:val="multilevel"/>
    <w:tmpl w:val="0EFC5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3C31FC1"/>
    <w:multiLevelType w:val="multilevel"/>
    <w:tmpl w:val="A8B21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51D792A"/>
    <w:multiLevelType w:val="multilevel"/>
    <w:tmpl w:val="42566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5DF06EA"/>
    <w:multiLevelType w:val="multilevel"/>
    <w:tmpl w:val="DB887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B6A28A0"/>
    <w:multiLevelType w:val="multilevel"/>
    <w:tmpl w:val="7E0E6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FA474A3"/>
    <w:multiLevelType w:val="hybridMultilevel"/>
    <w:tmpl w:val="E0D84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37D05AA"/>
    <w:multiLevelType w:val="multilevel"/>
    <w:tmpl w:val="11CAC8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CD14A3D"/>
    <w:multiLevelType w:val="multilevel"/>
    <w:tmpl w:val="9EA84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F6F4B34"/>
    <w:multiLevelType w:val="multilevel"/>
    <w:tmpl w:val="806E9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1093AA4"/>
    <w:multiLevelType w:val="multilevel"/>
    <w:tmpl w:val="B3266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913213C"/>
    <w:multiLevelType w:val="multilevel"/>
    <w:tmpl w:val="80BAF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9DC3DA7"/>
    <w:multiLevelType w:val="multilevel"/>
    <w:tmpl w:val="F23C8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61167493">
    <w:abstractNumId w:val="0"/>
  </w:num>
  <w:num w:numId="2" w16cid:durableId="9454811">
    <w:abstractNumId w:val="13"/>
  </w:num>
  <w:num w:numId="3" w16cid:durableId="420612786">
    <w:abstractNumId w:val="15"/>
  </w:num>
  <w:num w:numId="4" w16cid:durableId="279069133">
    <w:abstractNumId w:val="22"/>
  </w:num>
  <w:num w:numId="5" w16cid:durableId="2078746995">
    <w:abstractNumId w:val="21"/>
  </w:num>
  <w:num w:numId="6" w16cid:durableId="1339653118">
    <w:abstractNumId w:val="25"/>
  </w:num>
  <w:num w:numId="7" w16cid:durableId="175312613">
    <w:abstractNumId w:val="14"/>
  </w:num>
  <w:num w:numId="8" w16cid:durableId="1295714752">
    <w:abstractNumId w:val="9"/>
  </w:num>
  <w:num w:numId="9" w16cid:durableId="2144813117">
    <w:abstractNumId w:val="5"/>
  </w:num>
  <w:num w:numId="10" w16cid:durableId="1195658183">
    <w:abstractNumId w:val="12"/>
  </w:num>
  <w:num w:numId="11" w16cid:durableId="2072800981">
    <w:abstractNumId w:val="2"/>
  </w:num>
  <w:num w:numId="12" w16cid:durableId="2127430288">
    <w:abstractNumId w:val="18"/>
  </w:num>
  <w:num w:numId="13" w16cid:durableId="154999759">
    <w:abstractNumId w:val="17"/>
  </w:num>
  <w:num w:numId="14" w16cid:durableId="1983609077">
    <w:abstractNumId w:val="7"/>
  </w:num>
  <w:num w:numId="15" w16cid:durableId="2118989380">
    <w:abstractNumId w:val="24"/>
  </w:num>
  <w:num w:numId="16" w16cid:durableId="1162623247">
    <w:abstractNumId w:val="23"/>
  </w:num>
  <w:num w:numId="17" w16cid:durableId="1541937450">
    <w:abstractNumId w:val="8"/>
  </w:num>
  <w:num w:numId="18" w16cid:durableId="1829594483">
    <w:abstractNumId w:val="1"/>
  </w:num>
  <w:num w:numId="19" w16cid:durableId="774909832">
    <w:abstractNumId w:val="6"/>
  </w:num>
  <w:num w:numId="20" w16cid:durableId="696858751">
    <w:abstractNumId w:val="16"/>
  </w:num>
  <w:num w:numId="21" w16cid:durableId="465391495">
    <w:abstractNumId w:val="10"/>
  </w:num>
  <w:num w:numId="22" w16cid:durableId="965357343">
    <w:abstractNumId w:val="20"/>
  </w:num>
  <w:num w:numId="23" w16cid:durableId="709912331">
    <w:abstractNumId w:val="19"/>
  </w:num>
  <w:num w:numId="24" w16cid:durableId="1524245589">
    <w:abstractNumId w:val="4"/>
  </w:num>
  <w:num w:numId="25" w16cid:durableId="1335916268">
    <w:abstractNumId w:val="3"/>
  </w:num>
  <w:num w:numId="26" w16cid:durableId="5484164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FA2"/>
    <w:rsid w:val="00077A73"/>
    <w:rsid w:val="000932F2"/>
    <w:rsid w:val="00181854"/>
    <w:rsid w:val="001D3866"/>
    <w:rsid w:val="001F486A"/>
    <w:rsid w:val="002410E4"/>
    <w:rsid w:val="002D2B12"/>
    <w:rsid w:val="003C6A9A"/>
    <w:rsid w:val="003E7A4B"/>
    <w:rsid w:val="00460C8E"/>
    <w:rsid w:val="00541964"/>
    <w:rsid w:val="00562E64"/>
    <w:rsid w:val="005A1497"/>
    <w:rsid w:val="00621321"/>
    <w:rsid w:val="00624C1F"/>
    <w:rsid w:val="00687C30"/>
    <w:rsid w:val="006B3645"/>
    <w:rsid w:val="008B5731"/>
    <w:rsid w:val="00945660"/>
    <w:rsid w:val="009F14F9"/>
    <w:rsid w:val="00B80157"/>
    <w:rsid w:val="00B9765C"/>
    <w:rsid w:val="00BF0ECD"/>
    <w:rsid w:val="00CC6FA2"/>
    <w:rsid w:val="00CD36B1"/>
    <w:rsid w:val="00D32EC8"/>
    <w:rsid w:val="00DD0295"/>
    <w:rsid w:val="00E3311D"/>
    <w:rsid w:val="00E55427"/>
    <w:rsid w:val="00E55A7E"/>
    <w:rsid w:val="00E86A26"/>
    <w:rsid w:val="00EE2CDC"/>
    <w:rsid w:val="00EF3E3A"/>
    <w:rsid w:val="00FA1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7FA1BB"/>
  <w15:chartTrackingRefBased/>
  <w15:docId w15:val="{D77EB7EF-3D17-4E86-B2D2-8A340379D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C6FA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C6FA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C6FA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C6FA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C6FA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C6FA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C6FA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C6FA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C6FA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6FA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C6FA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C6FA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C6FA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C6FA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C6FA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C6FA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C6FA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C6FA2"/>
    <w:rPr>
      <w:rFonts w:eastAsiaTheme="majorEastAsia" w:cstheme="majorBidi"/>
      <w:color w:val="272727" w:themeColor="text1" w:themeTint="D8"/>
    </w:rPr>
  </w:style>
  <w:style w:type="paragraph" w:styleId="Title">
    <w:name w:val="Title"/>
    <w:basedOn w:val="Normal"/>
    <w:next w:val="Normal"/>
    <w:link w:val="TitleChar"/>
    <w:uiPriority w:val="10"/>
    <w:qFormat/>
    <w:rsid w:val="00CC6FA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C6FA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C6FA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C6FA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C6FA2"/>
    <w:pPr>
      <w:spacing w:before="160"/>
      <w:jc w:val="center"/>
    </w:pPr>
    <w:rPr>
      <w:i/>
      <w:iCs/>
      <w:color w:val="404040" w:themeColor="text1" w:themeTint="BF"/>
    </w:rPr>
  </w:style>
  <w:style w:type="character" w:customStyle="1" w:styleId="QuoteChar">
    <w:name w:val="Quote Char"/>
    <w:basedOn w:val="DefaultParagraphFont"/>
    <w:link w:val="Quote"/>
    <w:uiPriority w:val="29"/>
    <w:rsid w:val="00CC6FA2"/>
    <w:rPr>
      <w:i/>
      <w:iCs/>
      <w:color w:val="404040" w:themeColor="text1" w:themeTint="BF"/>
    </w:rPr>
  </w:style>
  <w:style w:type="paragraph" w:styleId="ListParagraph">
    <w:name w:val="List Paragraph"/>
    <w:basedOn w:val="Normal"/>
    <w:uiPriority w:val="34"/>
    <w:qFormat/>
    <w:rsid w:val="00CC6FA2"/>
    <w:pPr>
      <w:ind w:left="720"/>
      <w:contextualSpacing/>
    </w:pPr>
  </w:style>
  <w:style w:type="character" w:styleId="IntenseEmphasis">
    <w:name w:val="Intense Emphasis"/>
    <w:basedOn w:val="DefaultParagraphFont"/>
    <w:uiPriority w:val="21"/>
    <w:qFormat/>
    <w:rsid w:val="00CC6FA2"/>
    <w:rPr>
      <w:i/>
      <w:iCs/>
      <w:color w:val="2F5496" w:themeColor="accent1" w:themeShade="BF"/>
    </w:rPr>
  </w:style>
  <w:style w:type="paragraph" w:styleId="IntenseQuote">
    <w:name w:val="Intense Quote"/>
    <w:basedOn w:val="Normal"/>
    <w:next w:val="Normal"/>
    <w:link w:val="IntenseQuoteChar"/>
    <w:uiPriority w:val="30"/>
    <w:qFormat/>
    <w:rsid w:val="00CC6FA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C6FA2"/>
    <w:rPr>
      <w:i/>
      <w:iCs/>
      <w:color w:val="2F5496" w:themeColor="accent1" w:themeShade="BF"/>
    </w:rPr>
  </w:style>
  <w:style w:type="character" w:styleId="IntenseReference">
    <w:name w:val="Intense Reference"/>
    <w:basedOn w:val="DefaultParagraphFont"/>
    <w:uiPriority w:val="32"/>
    <w:qFormat/>
    <w:rsid w:val="00CC6FA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3344632">
      <w:bodyDiv w:val="1"/>
      <w:marLeft w:val="0"/>
      <w:marRight w:val="0"/>
      <w:marTop w:val="0"/>
      <w:marBottom w:val="0"/>
      <w:divBdr>
        <w:top w:val="none" w:sz="0" w:space="0" w:color="auto"/>
        <w:left w:val="none" w:sz="0" w:space="0" w:color="auto"/>
        <w:bottom w:val="none" w:sz="0" w:space="0" w:color="auto"/>
        <w:right w:val="none" w:sz="0" w:space="0" w:color="auto"/>
      </w:divBdr>
      <w:divsChild>
        <w:div w:id="788938737">
          <w:marLeft w:val="0"/>
          <w:marRight w:val="0"/>
          <w:marTop w:val="0"/>
          <w:marBottom w:val="0"/>
          <w:divBdr>
            <w:top w:val="none" w:sz="0" w:space="0" w:color="auto"/>
            <w:left w:val="none" w:sz="0" w:space="0" w:color="auto"/>
            <w:bottom w:val="none" w:sz="0" w:space="0" w:color="auto"/>
            <w:right w:val="none" w:sz="0" w:space="0" w:color="auto"/>
          </w:divBdr>
        </w:div>
        <w:div w:id="875505611">
          <w:marLeft w:val="0"/>
          <w:marRight w:val="0"/>
          <w:marTop w:val="0"/>
          <w:marBottom w:val="0"/>
          <w:divBdr>
            <w:top w:val="none" w:sz="0" w:space="0" w:color="auto"/>
            <w:left w:val="none" w:sz="0" w:space="0" w:color="auto"/>
            <w:bottom w:val="none" w:sz="0" w:space="0" w:color="auto"/>
            <w:right w:val="none" w:sz="0" w:space="0" w:color="auto"/>
          </w:divBdr>
          <w:divsChild>
            <w:div w:id="1043822205">
              <w:marLeft w:val="-75"/>
              <w:marRight w:val="0"/>
              <w:marTop w:val="30"/>
              <w:marBottom w:val="30"/>
              <w:divBdr>
                <w:top w:val="none" w:sz="0" w:space="0" w:color="auto"/>
                <w:left w:val="none" w:sz="0" w:space="0" w:color="auto"/>
                <w:bottom w:val="none" w:sz="0" w:space="0" w:color="auto"/>
                <w:right w:val="none" w:sz="0" w:space="0" w:color="auto"/>
              </w:divBdr>
              <w:divsChild>
                <w:div w:id="1143934651">
                  <w:marLeft w:val="0"/>
                  <w:marRight w:val="0"/>
                  <w:marTop w:val="0"/>
                  <w:marBottom w:val="0"/>
                  <w:divBdr>
                    <w:top w:val="none" w:sz="0" w:space="0" w:color="auto"/>
                    <w:left w:val="none" w:sz="0" w:space="0" w:color="auto"/>
                    <w:bottom w:val="none" w:sz="0" w:space="0" w:color="auto"/>
                    <w:right w:val="none" w:sz="0" w:space="0" w:color="auto"/>
                  </w:divBdr>
                  <w:divsChild>
                    <w:div w:id="149368093">
                      <w:marLeft w:val="0"/>
                      <w:marRight w:val="0"/>
                      <w:marTop w:val="0"/>
                      <w:marBottom w:val="0"/>
                      <w:divBdr>
                        <w:top w:val="none" w:sz="0" w:space="0" w:color="auto"/>
                        <w:left w:val="none" w:sz="0" w:space="0" w:color="auto"/>
                        <w:bottom w:val="none" w:sz="0" w:space="0" w:color="auto"/>
                        <w:right w:val="none" w:sz="0" w:space="0" w:color="auto"/>
                      </w:divBdr>
                    </w:div>
                  </w:divsChild>
                </w:div>
                <w:div w:id="167451489">
                  <w:marLeft w:val="0"/>
                  <w:marRight w:val="0"/>
                  <w:marTop w:val="0"/>
                  <w:marBottom w:val="0"/>
                  <w:divBdr>
                    <w:top w:val="none" w:sz="0" w:space="0" w:color="auto"/>
                    <w:left w:val="none" w:sz="0" w:space="0" w:color="auto"/>
                    <w:bottom w:val="none" w:sz="0" w:space="0" w:color="auto"/>
                    <w:right w:val="none" w:sz="0" w:space="0" w:color="auto"/>
                  </w:divBdr>
                  <w:divsChild>
                    <w:div w:id="914125021">
                      <w:marLeft w:val="0"/>
                      <w:marRight w:val="0"/>
                      <w:marTop w:val="0"/>
                      <w:marBottom w:val="0"/>
                      <w:divBdr>
                        <w:top w:val="none" w:sz="0" w:space="0" w:color="auto"/>
                        <w:left w:val="none" w:sz="0" w:space="0" w:color="auto"/>
                        <w:bottom w:val="none" w:sz="0" w:space="0" w:color="auto"/>
                        <w:right w:val="none" w:sz="0" w:space="0" w:color="auto"/>
                      </w:divBdr>
                    </w:div>
                  </w:divsChild>
                </w:div>
                <w:div w:id="1664383954">
                  <w:marLeft w:val="0"/>
                  <w:marRight w:val="0"/>
                  <w:marTop w:val="0"/>
                  <w:marBottom w:val="0"/>
                  <w:divBdr>
                    <w:top w:val="none" w:sz="0" w:space="0" w:color="auto"/>
                    <w:left w:val="none" w:sz="0" w:space="0" w:color="auto"/>
                    <w:bottom w:val="none" w:sz="0" w:space="0" w:color="auto"/>
                    <w:right w:val="none" w:sz="0" w:space="0" w:color="auto"/>
                  </w:divBdr>
                  <w:divsChild>
                    <w:div w:id="1766489977">
                      <w:marLeft w:val="0"/>
                      <w:marRight w:val="0"/>
                      <w:marTop w:val="0"/>
                      <w:marBottom w:val="0"/>
                      <w:divBdr>
                        <w:top w:val="none" w:sz="0" w:space="0" w:color="auto"/>
                        <w:left w:val="none" w:sz="0" w:space="0" w:color="auto"/>
                        <w:bottom w:val="none" w:sz="0" w:space="0" w:color="auto"/>
                        <w:right w:val="none" w:sz="0" w:space="0" w:color="auto"/>
                      </w:divBdr>
                    </w:div>
                    <w:div w:id="1907958258">
                      <w:marLeft w:val="0"/>
                      <w:marRight w:val="0"/>
                      <w:marTop w:val="0"/>
                      <w:marBottom w:val="0"/>
                      <w:divBdr>
                        <w:top w:val="none" w:sz="0" w:space="0" w:color="auto"/>
                        <w:left w:val="none" w:sz="0" w:space="0" w:color="auto"/>
                        <w:bottom w:val="none" w:sz="0" w:space="0" w:color="auto"/>
                        <w:right w:val="none" w:sz="0" w:space="0" w:color="auto"/>
                      </w:divBdr>
                    </w:div>
                  </w:divsChild>
                </w:div>
                <w:div w:id="2025013734">
                  <w:marLeft w:val="0"/>
                  <w:marRight w:val="0"/>
                  <w:marTop w:val="0"/>
                  <w:marBottom w:val="0"/>
                  <w:divBdr>
                    <w:top w:val="none" w:sz="0" w:space="0" w:color="auto"/>
                    <w:left w:val="none" w:sz="0" w:space="0" w:color="auto"/>
                    <w:bottom w:val="none" w:sz="0" w:space="0" w:color="auto"/>
                    <w:right w:val="none" w:sz="0" w:space="0" w:color="auto"/>
                  </w:divBdr>
                  <w:divsChild>
                    <w:div w:id="68582628">
                      <w:marLeft w:val="0"/>
                      <w:marRight w:val="0"/>
                      <w:marTop w:val="0"/>
                      <w:marBottom w:val="0"/>
                      <w:divBdr>
                        <w:top w:val="none" w:sz="0" w:space="0" w:color="auto"/>
                        <w:left w:val="none" w:sz="0" w:space="0" w:color="auto"/>
                        <w:bottom w:val="none" w:sz="0" w:space="0" w:color="auto"/>
                        <w:right w:val="none" w:sz="0" w:space="0" w:color="auto"/>
                      </w:divBdr>
                    </w:div>
                    <w:div w:id="324359871">
                      <w:marLeft w:val="0"/>
                      <w:marRight w:val="0"/>
                      <w:marTop w:val="0"/>
                      <w:marBottom w:val="0"/>
                      <w:divBdr>
                        <w:top w:val="none" w:sz="0" w:space="0" w:color="auto"/>
                        <w:left w:val="none" w:sz="0" w:space="0" w:color="auto"/>
                        <w:bottom w:val="none" w:sz="0" w:space="0" w:color="auto"/>
                        <w:right w:val="none" w:sz="0" w:space="0" w:color="auto"/>
                      </w:divBdr>
                    </w:div>
                    <w:div w:id="1825076025">
                      <w:marLeft w:val="0"/>
                      <w:marRight w:val="0"/>
                      <w:marTop w:val="0"/>
                      <w:marBottom w:val="0"/>
                      <w:divBdr>
                        <w:top w:val="none" w:sz="0" w:space="0" w:color="auto"/>
                        <w:left w:val="none" w:sz="0" w:space="0" w:color="auto"/>
                        <w:bottom w:val="none" w:sz="0" w:space="0" w:color="auto"/>
                        <w:right w:val="none" w:sz="0" w:space="0" w:color="auto"/>
                      </w:divBdr>
                    </w:div>
                    <w:div w:id="604313357">
                      <w:marLeft w:val="0"/>
                      <w:marRight w:val="0"/>
                      <w:marTop w:val="0"/>
                      <w:marBottom w:val="0"/>
                      <w:divBdr>
                        <w:top w:val="none" w:sz="0" w:space="0" w:color="auto"/>
                        <w:left w:val="none" w:sz="0" w:space="0" w:color="auto"/>
                        <w:bottom w:val="none" w:sz="0" w:space="0" w:color="auto"/>
                        <w:right w:val="none" w:sz="0" w:space="0" w:color="auto"/>
                      </w:divBdr>
                    </w:div>
                    <w:div w:id="187380858">
                      <w:marLeft w:val="0"/>
                      <w:marRight w:val="0"/>
                      <w:marTop w:val="0"/>
                      <w:marBottom w:val="0"/>
                      <w:divBdr>
                        <w:top w:val="none" w:sz="0" w:space="0" w:color="auto"/>
                        <w:left w:val="none" w:sz="0" w:space="0" w:color="auto"/>
                        <w:bottom w:val="none" w:sz="0" w:space="0" w:color="auto"/>
                        <w:right w:val="none" w:sz="0" w:space="0" w:color="auto"/>
                      </w:divBdr>
                    </w:div>
                    <w:div w:id="1182358321">
                      <w:marLeft w:val="0"/>
                      <w:marRight w:val="0"/>
                      <w:marTop w:val="0"/>
                      <w:marBottom w:val="0"/>
                      <w:divBdr>
                        <w:top w:val="none" w:sz="0" w:space="0" w:color="auto"/>
                        <w:left w:val="none" w:sz="0" w:space="0" w:color="auto"/>
                        <w:bottom w:val="none" w:sz="0" w:space="0" w:color="auto"/>
                        <w:right w:val="none" w:sz="0" w:space="0" w:color="auto"/>
                      </w:divBdr>
                    </w:div>
                    <w:div w:id="872885407">
                      <w:marLeft w:val="0"/>
                      <w:marRight w:val="0"/>
                      <w:marTop w:val="0"/>
                      <w:marBottom w:val="0"/>
                      <w:divBdr>
                        <w:top w:val="none" w:sz="0" w:space="0" w:color="auto"/>
                        <w:left w:val="none" w:sz="0" w:space="0" w:color="auto"/>
                        <w:bottom w:val="none" w:sz="0" w:space="0" w:color="auto"/>
                        <w:right w:val="none" w:sz="0" w:space="0" w:color="auto"/>
                      </w:divBdr>
                    </w:div>
                    <w:div w:id="1756123538">
                      <w:marLeft w:val="0"/>
                      <w:marRight w:val="0"/>
                      <w:marTop w:val="0"/>
                      <w:marBottom w:val="0"/>
                      <w:divBdr>
                        <w:top w:val="none" w:sz="0" w:space="0" w:color="auto"/>
                        <w:left w:val="none" w:sz="0" w:space="0" w:color="auto"/>
                        <w:bottom w:val="none" w:sz="0" w:space="0" w:color="auto"/>
                        <w:right w:val="none" w:sz="0" w:space="0" w:color="auto"/>
                      </w:divBdr>
                    </w:div>
                  </w:divsChild>
                </w:div>
                <w:div w:id="97524913">
                  <w:marLeft w:val="0"/>
                  <w:marRight w:val="0"/>
                  <w:marTop w:val="0"/>
                  <w:marBottom w:val="0"/>
                  <w:divBdr>
                    <w:top w:val="none" w:sz="0" w:space="0" w:color="auto"/>
                    <w:left w:val="none" w:sz="0" w:space="0" w:color="auto"/>
                    <w:bottom w:val="none" w:sz="0" w:space="0" w:color="auto"/>
                    <w:right w:val="none" w:sz="0" w:space="0" w:color="auto"/>
                  </w:divBdr>
                  <w:divsChild>
                    <w:div w:id="1020163564">
                      <w:marLeft w:val="0"/>
                      <w:marRight w:val="0"/>
                      <w:marTop w:val="0"/>
                      <w:marBottom w:val="0"/>
                      <w:divBdr>
                        <w:top w:val="none" w:sz="0" w:space="0" w:color="auto"/>
                        <w:left w:val="none" w:sz="0" w:space="0" w:color="auto"/>
                        <w:bottom w:val="none" w:sz="0" w:space="0" w:color="auto"/>
                        <w:right w:val="none" w:sz="0" w:space="0" w:color="auto"/>
                      </w:divBdr>
                    </w:div>
                  </w:divsChild>
                </w:div>
                <w:div w:id="748773633">
                  <w:marLeft w:val="0"/>
                  <w:marRight w:val="0"/>
                  <w:marTop w:val="0"/>
                  <w:marBottom w:val="0"/>
                  <w:divBdr>
                    <w:top w:val="none" w:sz="0" w:space="0" w:color="auto"/>
                    <w:left w:val="none" w:sz="0" w:space="0" w:color="auto"/>
                    <w:bottom w:val="none" w:sz="0" w:space="0" w:color="auto"/>
                    <w:right w:val="none" w:sz="0" w:space="0" w:color="auto"/>
                  </w:divBdr>
                  <w:divsChild>
                    <w:div w:id="1514300984">
                      <w:marLeft w:val="0"/>
                      <w:marRight w:val="0"/>
                      <w:marTop w:val="0"/>
                      <w:marBottom w:val="0"/>
                      <w:divBdr>
                        <w:top w:val="none" w:sz="0" w:space="0" w:color="auto"/>
                        <w:left w:val="none" w:sz="0" w:space="0" w:color="auto"/>
                        <w:bottom w:val="none" w:sz="0" w:space="0" w:color="auto"/>
                        <w:right w:val="none" w:sz="0" w:space="0" w:color="auto"/>
                      </w:divBdr>
                    </w:div>
                    <w:div w:id="1138844665">
                      <w:marLeft w:val="0"/>
                      <w:marRight w:val="0"/>
                      <w:marTop w:val="0"/>
                      <w:marBottom w:val="0"/>
                      <w:divBdr>
                        <w:top w:val="none" w:sz="0" w:space="0" w:color="auto"/>
                        <w:left w:val="none" w:sz="0" w:space="0" w:color="auto"/>
                        <w:bottom w:val="none" w:sz="0" w:space="0" w:color="auto"/>
                        <w:right w:val="none" w:sz="0" w:space="0" w:color="auto"/>
                      </w:divBdr>
                    </w:div>
                    <w:div w:id="2062514600">
                      <w:marLeft w:val="0"/>
                      <w:marRight w:val="0"/>
                      <w:marTop w:val="0"/>
                      <w:marBottom w:val="0"/>
                      <w:divBdr>
                        <w:top w:val="none" w:sz="0" w:space="0" w:color="auto"/>
                        <w:left w:val="none" w:sz="0" w:space="0" w:color="auto"/>
                        <w:bottom w:val="none" w:sz="0" w:space="0" w:color="auto"/>
                        <w:right w:val="none" w:sz="0" w:space="0" w:color="auto"/>
                      </w:divBdr>
                    </w:div>
                    <w:div w:id="2024818133">
                      <w:marLeft w:val="0"/>
                      <w:marRight w:val="0"/>
                      <w:marTop w:val="0"/>
                      <w:marBottom w:val="0"/>
                      <w:divBdr>
                        <w:top w:val="none" w:sz="0" w:space="0" w:color="auto"/>
                        <w:left w:val="none" w:sz="0" w:space="0" w:color="auto"/>
                        <w:bottom w:val="none" w:sz="0" w:space="0" w:color="auto"/>
                        <w:right w:val="none" w:sz="0" w:space="0" w:color="auto"/>
                      </w:divBdr>
                    </w:div>
                    <w:div w:id="857277497">
                      <w:marLeft w:val="0"/>
                      <w:marRight w:val="0"/>
                      <w:marTop w:val="0"/>
                      <w:marBottom w:val="0"/>
                      <w:divBdr>
                        <w:top w:val="none" w:sz="0" w:space="0" w:color="auto"/>
                        <w:left w:val="none" w:sz="0" w:space="0" w:color="auto"/>
                        <w:bottom w:val="none" w:sz="0" w:space="0" w:color="auto"/>
                        <w:right w:val="none" w:sz="0" w:space="0" w:color="auto"/>
                      </w:divBdr>
                    </w:div>
                    <w:div w:id="531498738">
                      <w:marLeft w:val="0"/>
                      <w:marRight w:val="0"/>
                      <w:marTop w:val="0"/>
                      <w:marBottom w:val="0"/>
                      <w:divBdr>
                        <w:top w:val="none" w:sz="0" w:space="0" w:color="auto"/>
                        <w:left w:val="none" w:sz="0" w:space="0" w:color="auto"/>
                        <w:bottom w:val="none" w:sz="0" w:space="0" w:color="auto"/>
                        <w:right w:val="none" w:sz="0" w:space="0" w:color="auto"/>
                      </w:divBdr>
                    </w:div>
                    <w:div w:id="823858566">
                      <w:marLeft w:val="0"/>
                      <w:marRight w:val="0"/>
                      <w:marTop w:val="0"/>
                      <w:marBottom w:val="0"/>
                      <w:divBdr>
                        <w:top w:val="none" w:sz="0" w:space="0" w:color="auto"/>
                        <w:left w:val="none" w:sz="0" w:space="0" w:color="auto"/>
                        <w:bottom w:val="none" w:sz="0" w:space="0" w:color="auto"/>
                        <w:right w:val="none" w:sz="0" w:space="0" w:color="auto"/>
                      </w:divBdr>
                    </w:div>
                    <w:div w:id="942954833">
                      <w:marLeft w:val="0"/>
                      <w:marRight w:val="0"/>
                      <w:marTop w:val="0"/>
                      <w:marBottom w:val="0"/>
                      <w:divBdr>
                        <w:top w:val="none" w:sz="0" w:space="0" w:color="auto"/>
                        <w:left w:val="none" w:sz="0" w:space="0" w:color="auto"/>
                        <w:bottom w:val="none" w:sz="0" w:space="0" w:color="auto"/>
                        <w:right w:val="none" w:sz="0" w:space="0" w:color="auto"/>
                      </w:divBdr>
                    </w:div>
                  </w:divsChild>
                </w:div>
                <w:div w:id="1088507016">
                  <w:marLeft w:val="0"/>
                  <w:marRight w:val="0"/>
                  <w:marTop w:val="0"/>
                  <w:marBottom w:val="0"/>
                  <w:divBdr>
                    <w:top w:val="none" w:sz="0" w:space="0" w:color="auto"/>
                    <w:left w:val="none" w:sz="0" w:space="0" w:color="auto"/>
                    <w:bottom w:val="none" w:sz="0" w:space="0" w:color="auto"/>
                    <w:right w:val="none" w:sz="0" w:space="0" w:color="auto"/>
                  </w:divBdr>
                  <w:divsChild>
                    <w:div w:id="336033809">
                      <w:marLeft w:val="0"/>
                      <w:marRight w:val="0"/>
                      <w:marTop w:val="0"/>
                      <w:marBottom w:val="0"/>
                      <w:divBdr>
                        <w:top w:val="none" w:sz="0" w:space="0" w:color="auto"/>
                        <w:left w:val="none" w:sz="0" w:space="0" w:color="auto"/>
                        <w:bottom w:val="none" w:sz="0" w:space="0" w:color="auto"/>
                        <w:right w:val="none" w:sz="0" w:space="0" w:color="auto"/>
                      </w:divBdr>
                    </w:div>
                    <w:div w:id="1298604064">
                      <w:marLeft w:val="0"/>
                      <w:marRight w:val="0"/>
                      <w:marTop w:val="0"/>
                      <w:marBottom w:val="0"/>
                      <w:divBdr>
                        <w:top w:val="none" w:sz="0" w:space="0" w:color="auto"/>
                        <w:left w:val="none" w:sz="0" w:space="0" w:color="auto"/>
                        <w:bottom w:val="none" w:sz="0" w:space="0" w:color="auto"/>
                        <w:right w:val="none" w:sz="0" w:space="0" w:color="auto"/>
                      </w:divBdr>
                    </w:div>
                    <w:div w:id="2057896868">
                      <w:marLeft w:val="0"/>
                      <w:marRight w:val="0"/>
                      <w:marTop w:val="0"/>
                      <w:marBottom w:val="0"/>
                      <w:divBdr>
                        <w:top w:val="none" w:sz="0" w:space="0" w:color="auto"/>
                        <w:left w:val="none" w:sz="0" w:space="0" w:color="auto"/>
                        <w:bottom w:val="none" w:sz="0" w:space="0" w:color="auto"/>
                        <w:right w:val="none" w:sz="0" w:space="0" w:color="auto"/>
                      </w:divBdr>
                    </w:div>
                  </w:divsChild>
                </w:div>
                <w:div w:id="959996723">
                  <w:marLeft w:val="0"/>
                  <w:marRight w:val="0"/>
                  <w:marTop w:val="0"/>
                  <w:marBottom w:val="0"/>
                  <w:divBdr>
                    <w:top w:val="none" w:sz="0" w:space="0" w:color="auto"/>
                    <w:left w:val="none" w:sz="0" w:space="0" w:color="auto"/>
                    <w:bottom w:val="none" w:sz="0" w:space="0" w:color="auto"/>
                    <w:right w:val="none" w:sz="0" w:space="0" w:color="auto"/>
                  </w:divBdr>
                  <w:divsChild>
                    <w:div w:id="82529245">
                      <w:marLeft w:val="0"/>
                      <w:marRight w:val="0"/>
                      <w:marTop w:val="0"/>
                      <w:marBottom w:val="0"/>
                      <w:divBdr>
                        <w:top w:val="none" w:sz="0" w:space="0" w:color="auto"/>
                        <w:left w:val="none" w:sz="0" w:space="0" w:color="auto"/>
                        <w:bottom w:val="none" w:sz="0" w:space="0" w:color="auto"/>
                        <w:right w:val="none" w:sz="0" w:space="0" w:color="auto"/>
                      </w:divBdr>
                    </w:div>
                    <w:div w:id="873731931">
                      <w:marLeft w:val="0"/>
                      <w:marRight w:val="0"/>
                      <w:marTop w:val="0"/>
                      <w:marBottom w:val="0"/>
                      <w:divBdr>
                        <w:top w:val="none" w:sz="0" w:space="0" w:color="auto"/>
                        <w:left w:val="none" w:sz="0" w:space="0" w:color="auto"/>
                        <w:bottom w:val="none" w:sz="0" w:space="0" w:color="auto"/>
                        <w:right w:val="none" w:sz="0" w:space="0" w:color="auto"/>
                      </w:divBdr>
                    </w:div>
                    <w:div w:id="861553170">
                      <w:marLeft w:val="0"/>
                      <w:marRight w:val="0"/>
                      <w:marTop w:val="0"/>
                      <w:marBottom w:val="0"/>
                      <w:divBdr>
                        <w:top w:val="none" w:sz="0" w:space="0" w:color="auto"/>
                        <w:left w:val="none" w:sz="0" w:space="0" w:color="auto"/>
                        <w:bottom w:val="none" w:sz="0" w:space="0" w:color="auto"/>
                        <w:right w:val="none" w:sz="0" w:space="0" w:color="auto"/>
                      </w:divBdr>
                    </w:div>
                    <w:div w:id="512958752">
                      <w:marLeft w:val="0"/>
                      <w:marRight w:val="0"/>
                      <w:marTop w:val="0"/>
                      <w:marBottom w:val="0"/>
                      <w:divBdr>
                        <w:top w:val="none" w:sz="0" w:space="0" w:color="auto"/>
                        <w:left w:val="none" w:sz="0" w:space="0" w:color="auto"/>
                        <w:bottom w:val="none" w:sz="0" w:space="0" w:color="auto"/>
                        <w:right w:val="none" w:sz="0" w:space="0" w:color="auto"/>
                      </w:divBdr>
                    </w:div>
                    <w:div w:id="1406026998">
                      <w:marLeft w:val="0"/>
                      <w:marRight w:val="0"/>
                      <w:marTop w:val="0"/>
                      <w:marBottom w:val="0"/>
                      <w:divBdr>
                        <w:top w:val="none" w:sz="0" w:space="0" w:color="auto"/>
                        <w:left w:val="none" w:sz="0" w:space="0" w:color="auto"/>
                        <w:bottom w:val="none" w:sz="0" w:space="0" w:color="auto"/>
                        <w:right w:val="none" w:sz="0" w:space="0" w:color="auto"/>
                      </w:divBdr>
                    </w:div>
                  </w:divsChild>
                </w:div>
                <w:div w:id="1792045035">
                  <w:marLeft w:val="0"/>
                  <w:marRight w:val="0"/>
                  <w:marTop w:val="0"/>
                  <w:marBottom w:val="0"/>
                  <w:divBdr>
                    <w:top w:val="none" w:sz="0" w:space="0" w:color="auto"/>
                    <w:left w:val="none" w:sz="0" w:space="0" w:color="auto"/>
                    <w:bottom w:val="none" w:sz="0" w:space="0" w:color="auto"/>
                    <w:right w:val="none" w:sz="0" w:space="0" w:color="auto"/>
                  </w:divBdr>
                  <w:divsChild>
                    <w:div w:id="784035230">
                      <w:marLeft w:val="0"/>
                      <w:marRight w:val="0"/>
                      <w:marTop w:val="0"/>
                      <w:marBottom w:val="0"/>
                      <w:divBdr>
                        <w:top w:val="none" w:sz="0" w:space="0" w:color="auto"/>
                        <w:left w:val="none" w:sz="0" w:space="0" w:color="auto"/>
                        <w:bottom w:val="none" w:sz="0" w:space="0" w:color="auto"/>
                        <w:right w:val="none" w:sz="0" w:space="0" w:color="auto"/>
                      </w:divBdr>
                    </w:div>
                  </w:divsChild>
                </w:div>
                <w:div w:id="1247956677">
                  <w:marLeft w:val="0"/>
                  <w:marRight w:val="0"/>
                  <w:marTop w:val="0"/>
                  <w:marBottom w:val="0"/>
                  <w:divBdr>
                    <w:top w:val="none" w:sz="0" w:space="0" w:color="auto"/>
                    <w:left w:val="none" w:sz="0" w:space="0" w:color="auto"/>
                    <w:bottom w:val="none" w:sz="0" w:space="0" w:color="auto"/>
                    <w:right w:val="none" w:sz="0" w:space="0" w:color="auto"/>
                  </w:divBdr>
                  <w:divsChild>
                    <w:div w:id="956330034">
                      <w:marLeft w:val="0"/>
                      <w:marRight w:val="0"/>
                      <w:marTop w:val="0"/>
                      <w:marBottom w:val="0"/>
                      <w:divBdr>
                        <w:top w:val="none" w:sz="0" w:space="0" w:color="auto"/>
                        <w:left w:val="none" w:sz="0" w:space="0" w:color="auto"/>
                        <w:bottom w:val="none" w:sz="0" w:space="0" w:color="auto"/>
                        <w:right w:val="none" w:sz="0" w:space="0" w:color="auto"/>
                      </w:divBdr>
                    </w:div>
                    <w:div w:id="1697149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6913557">
      <w:bodyDiv w:val="1"/>
      <w:marLeft w:val="0"/>
      <w:marRight w:val="0"/>
      <w:marTop w:val="0"/>
      <w:marBottom w:val="0"/>
      <w:divBdr>
        <w:top w:val="none" w:sz="0" w:space="0" w:color="auto"/>
        <w:left w:val="none" w:sz="0" w:space="0" w:color="auto"/>
        <w:bottom w:val="none" w:sz="0" w:space="0" w:color="auto"/>
        <w:right w:val="none" w:sz="0" w:space="0" w:color="auto"/>
      </w:divBdr>
      <w:divsChild>
        <w:div w:id="1839690803">
          <w:marLeft w:val="432"/>
          <w:marRight w:val="0"/>
          <w:marTop w:val="115"/>
          <w:marBottom w:val="1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ixabay.com/illustrations/checklist-to-do-activities-boxes-1766064/"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1006</Words>
  <Characters>5739</Characters>
  <Application>Microsoft Office Word</Application>
  <DocSecurity>0</DocSecurity>
  <Lines>47</Lines>
  <Paragraphs>13</Paragraphs>
  <ScaleCrop>false</ScaleCrop>
  <Company/>
  <LinksUpToDate>false</LinksUpToDate>
  <CharactersWithSpaces>6732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Chouinard, Kim</dc:creator>
  <cp:keywords/>
  <dc:description/>
  <cp:lastModifiedBy>Chouinard, Kim</cp:lastModifiedBy>
  <cp:revision>2</cp:revision>
  <dcterms:created xsi:type="dcterms:W3CDTF">2025-01-23T13:43:00Z</dcterms:created>
  <dcterms:modified xsi:type="dcterms:W3CDTF">2025-01-23T13:43:00Z</dcterms:modified>
</cp:coreProperties>
</file>