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02FC52" w14:textId="77777777" w:rsidR="00491600" w:rsidRPr="006C4A5A" w:rsidRDefault="004B538F" w:rsidP="006C4A5A">
      <w:pPr>
        <w:jc w:val="center"/>
        <w:rPr>
          <w:b/>
          <w:sz w:val="24"/>
          <w:szCs w:val="24"/>
        </w:rPr>
      </w:pPr>
      <w:r w:rsidRPr="006C4A5A">
        <w:rPr>
          <w:b/>
          <w:sz w:val="24"/>
          <w:szCs w:val="24"/>
        </w:rPr>
        <w:t>Disproportionality Resources</w:t>
      </w:r>
    </w:p>
    <w:p w14:paraId="22C019F1" w14:textId="77777777" w:rsidR="006C4A5A" w:rsidRPr="00761F37" w:rsidRDefault="006C4A5A" w:rsidP="006C4A5A">
      <w:pPr>
        <w:pStyle w:val="Heading3"/>
        <w:rPr>
          <w:rFonts w:asciiTheme="minorHAnsi" w:hAnsiTheme="minorHAnsi" w:cs="Helvetica"/>
          <w:b/>
          <w:color w:val="464646"/>
          <w:sz w:val="24"/>
          <w:szCs w:val="24"/>
          <w:lang w:val="en"/>
        </w:rPr>
      </w:pPr>
      <w:r w:rsidRPr="00761F37">
        <w:rPr>
          <w:rFonts w:asciiTheme="minorHAnsi" w:hAnsiTheme="minorHAnsi" w:cs="Helvetica"/>
          <w:b/>
          <w:color w:val="464646"/>
          <w:sz w:val="24"/>
          <w:szCs w:val="24"/>
          <w:lang w:val="en"/>
        </w:rPr>
        <w:t>The IDEA Data Center (IDC)</w:t>
      </w:r>
    </w:p>
    <w:p w14:paraId="258D4C13" w14:textId="77777777" w:rsidR="00761F37" w:rsidRDefault="00761F37" w:rsidP="006C4A5A">
      <w:pPr>
        <w:pStyle w:val="NormalWeb"/>
      </w:pPr>
      <w:hyperlink r:id="rId5" w:history="1">
        <w:r w:rsidRPr="00EF6C91">
          <w:rPr>
            <w:rStyle w:val="Hyperlink"/>
          </w:rPr>
          <w:t>https://osepideasthatwork.org/federal-resources-stakeholders/disproportionality-and-equity</w:t>
        </w:r>
      </w:hyperlink>
      <w:r>
        <w:t xml:space="preserve"> </w:t>
      </w:r>
    </w:p>
    <w:p w14:paraId="7D88872B" w14:textId="04C908A3" w:rsidR="006C4A5A" w:rsidRDefault="006C4A5A" w:rsidP="006C4A5A">
      <w:pPr>
        <w:pStyle w:val="NormalWeb"/>
        <w:rPr>
          <w:rFonts w:asciiTheme="minorHAnsi" w:hAnsiTheme="minorHAnsi" w:cs="Helvetica"/>
          <w:color w:val="464646"/>
          <w:lang w:val="en"/>
        </w:rPr>
      </w:pPr>
      <w:r w:rsidRPr="006C4A5A">
        <w:rPr>
          <w:rFonts w:asciiTheme="minorHAnsi" w:hAnsiTheme="minorHAnsi" w:cs="Helvetica"/>
          <w:color w:val="464646"/>
          <w:lang w:val="en"/>
        </w:rPr>
        <w:t>This page lists resources developed by IDC and IDC partners on the topic of disproportionality, including white papers, presentations, rubrics and other tools.</w:t>
      </w:r>
    </w:p>
    <w:p w14:paraId="2F5D0F5C" w14:textId="62423432" w:rsidR="00761F37" w:rsidRDefault="00761F37" w:rsidP="006C4A5A">
      <w:pPr>
        <w:pStyle w:val="NormalWeb"/>
        <w:rPr>
          <w:rFonts w:asciiTheme="minorHAnsi" w:hAnsiTheme="minorHAnsi" w:cs="Helvetica"/>
          <w:color w:val="464646"/>
          <w:lang w:val="en"/>
        </w:rPr>
      </w:pPr>
      <w:r w:rsidRPr="00761F37">
        <w:rPr>
          <w:rFonts w:asciiTheme="minorHAnsi" w:hAnsiTheme="minorHAnsi" w:cs="Helvetica"/>
          <w:b/>
          <w:color w:val="464646"/>
          <w:lang w:val="en"/>
        </w:rPr>
        <w:t>Success Gaps Toolkit</w:t>
      </w:r>
      <w:r>
        <w:rPr>
          <w:rFonts w:asciiTheme="minorHAnsi" w:hAnsiTheme="minorHAnsi" w:cs="Helvetica"/>
          <w:color w:val="464646"/>
          <w:lang w:val="en"/>
        </w:rPr>
        <w:t xml:space="preserve">: </w:t>
      </w:r>
      <w:hyperlink r:id="rId6" w:history="1">
        <w:r w:rsidRPr="00EF6C91">
          <w:rPr>
            <w:rStyle w:val="Hyperlink"/>
            <w:rFonts w:asciiTheme="minorHAnsi" w:hAnsiTheme="minorHAnsi" w:cs="Helvetica"/>
            <w:lang w:val="en"/>
          </w:rPr>
          <w:t>https://ideadata.org/resources/resource/1538/success-gaps-toolkit</w:t>
        </w:r>
      </w:hyperlink>
      <w:r>
        <w:rPr>
          <w:rFonts w:asciiTheme="minorHAnsi" w:hAnsiTheme="minorHAnsi" w:cs="Helvetica"/>
          <w:color w:val="464646"/>
          <w:lang w:val="en"/>
        </w:rPr>
        <w:t xml:space="preserve"> </w:t>
      </w:r>
    </w:p>
    <w:p w14:paraId="1E6B3388" w14:textId="20D95F12" w:rsidR="00761F37" w:rsidRDefault="00761F37" w:rsidP="006C4A5A">
      <w:pPr>
        <w:pStyle w:val="NormalWeb"/>
        <w:rPr>
          <w:rFonts w:asciiTheme="minorHAnsi" w:hAnsiTheme="minorHAnsi" w:cs="Helvetica"/>
          <w:color w:val="464646"/>
          <w:lang w:val="en"/>
        </w:rPr>
      </w:pPr>
      <w:r w:rsidRPr="00761F37">
        <w:rPr>
          <w:rFonts w:asciiTheme="minorHAnsi" w:hAnsiTheme="minorHAnsi" w:cs="Helvetica"/>
          <w:b/>
          <w:color w:val="464646"/>
          <w:lang w:val="en"/>
        </w:rPr>
        <w:t xml:space="preserve">Equity, Inclusion, and Opportunity: Addressing Success Gaps Toolbox for Implementations: Guideline </w:t>
      </w:r>
      <w:hyperlink r:id="rId7" w:history="1">
        <w:r w:rsidRPr="00761F37">
          <w:rPr>
            <w:rStyle w:val="Hyperlink"/>
            <w:rFonts w:asciiTheme="minorHAnsi" w:hAnsiTheme="minorHAnsi" w:cs="Helvetica"/>
            <w:sz w:val="22"/>
            <w:szCs w:val="22"/>
            <w:lang w:val="en"/>
          </w:rPr>
          <w:t>https://ideadata.org/toolkits/resources/guidelines/Equity_Inclusion_Opportunity_Guidelines.pdf</w:t>
        </w:r>
      </w:hyperlink>
      <w:r>
        <w:rPr>
          <w:rFonts w:asciiTheme="minorHAnsi" w:hAnsiTheme="minorHAnsi" w:cs="Helvetica"/>
          <w:color w:val="464646"/>
          <w:lang w:val="en"/>
        </w:rPr>
        <w:t xml:space="preserve"> </w:t>
      </w:r>
    </w:p>
    <w:p w14:paraId="7A722F89" w14:textId="4F8350F1" w:rsidR="00761F37" w:rsidRDefault="00761F37" w:rsidP="00761F37">
      <w:pPr>
        <w:pStyle w:val="NormalWeb"/>
        <w:rPr>
          <w:rFonts w:asciiTheme="minorHAnsi" w:hAnsiTheme="minorHAnsi" w:cs="Helvetica"/>
          <w:color w:val="464646"/>
          <w:lang w:val="en"/>
        </w:rPr>
      </w:pPr>
      <w:r w:rsidRPr="00761F37">
        <w:rPr>
          <w:rFonts w:asciiTheme="minorHAnsi" w:hAnsiTheme="minorHAnsi" w:cs="Helvetica"/>
          <w:b/>
          <w:color w:val="464646"/>
          <w:lang w:val="en"/>
        </w:rPr>
        <w:t>Success Gaps Rubric</w:t>
      </w:r>
      <w:r>
        <w:rPr>
          <w:rFonts w:asciiTheme="minorHAnsi" w:hAnsiTheme="minorHAnsi" w:cs="Helvetica"/>
          <w:color w:val="464646"/>
          <w:lang w:val="en"/>
        </w:rPr>
        <w:t xml:space="preserve">: </w:t>
      </w:r>
      <w:hyperlink r:id="rId8" w:history="1">
        <w:r w:rsidRPr="00EF6C91">
          <w:rPr>
            <w:rStyle w:val="Hyperlink"/>
            <w:rFonts w:asciiTheme="minorHAnsi" w:hAnsiTheme="minorHAnsi" w:cs="Helvetica"/>
            <w:lang w:val="en"/>
          </w:rPr>
          <w:t>https://ideadata.org/resources/resource/133/equity-inclusion-and-opportunity-addressing-success-gaps-indicators-of</w:t>
        </w:r>
      </w:hyperlink>
    </w:p>
    <w:p w14:paraId="67B769A5" w14:textId="0928B9F2" w:rsidR="006C4A5A" w:rsidRDefault="006C4A5A" w:rsidP="00761F37">
      <w:pPr>
        <w:pStyle w:val="NormalWeb"/>
        <w:rPr>
          <w:rStyle w:val="Hyperlink"/>
          <w:rFonts w:cs="Helvetica"/>
          <w:color w:val="0000CD"/>
          <w:lang w:val="en"/>
        </w:rPr>
      </w:pPr>
      <w:r>
        <w:rPr>
          <w:rFonts w:cs="Helvetica"/>
          <w:color w:val="464646"/>
          <w:lang w:val="en"/>
        </w:rPr>
        <w:t xml:space="preserve">March 2017 Q&amp;A from OSEP/OSERS USDOE: </w:t>
      </w:r>
      <w:hyperlink r:id="rId9" w:history="1">
        <w:r w:rsidRPr="006C4A5A">
          <w:rPr>
            <w:rStyle w:val="Hyperlink"/>
            <w:rFonts w:cs="Helvetica"/>
            <w:color w:val="0000CD"/>
            <w:lang w:val="en"/>
          </w:rPr>
          <w:t>Essential Questions and Answers on Disproportionality</w:t>
        </w:r>
      </w:hyperlink>
    </w:p>
    <w:p w14:paraId="3EFBA06B" w14:textId="77777777" w:rsidR="00761F37" w:rsidRPr="00761F37" w:rsidRDefault="00761F37" w:rsidP="00761F37">
      <w:pPr>
        <w:pStyle w:val="Heading3"/>
        <w:rPr>
          <w:rFonts w:asciiTheme="minorHAnsi" w:hAnsiTheme="minorHAnsi" w:cs="Helvetica"/>
          <w:b/>
          <w:color w:val="464646"/>
          <w:sz w:val="24"/>
          <w:szCs w:val="24"/>
          <w:lang w:val="en"/>
        </w:rPr>
      </w:pPr>
      <w:r w:rsidRPr="00761F37">
        <w:rPr>
          <w:rFonts w:asciiTheme="minorHAnsi" w:hAnsiTheme="minorHAnsi" w:cs="Helvetica"/>
          <w:b/>
          <w:color w:val="464646"/>
          <w:sz w:val="24"/>
          <w:szCs w:val="24"/>
          <w:lang w:val="en"/>
        </w:rPr>
        <w:t>Collaboration for Effective Educator Development Accountability and Reform (CEEDAR)</w:t>
      </w:r>
    </w:p>
    <w:p w14:paraId="5645EC28" w14:textId="77777777" w:rsidR="00761F37" w:rsidRDefault="00761F37" w:rsidP="00761F37">
      <w:pPr>
        <w:pStyle w:val="NormalWeb"/>
        <w:rPr>
          <w:rFonts w:ascii="Open Sans" w:hAnsi="Open Sans" w:cs="Helvetica"/>
          <w:color w:val="464646"/>
          <w:lang w:val="en"/>
        </w:rPr>
      </w:pPr>
      <w:hyperlink r:id="rId10" w:tgtFrame="_blank" w:history="1">
        <w:r>
          <w:rPr>
            <w:rStyle w:val="Hyperlink"/>
            <w:rFonts w:ascii="Open Sans" w:hAnsi="Open Sans" w:cs="Helvetica"/>
            <w:color w:val="0000CD"/>
            <w:lang w:val="en"/>
          </w:rPr>
          <w:t>Innovation Configuration on Cult</w:t>
        </w:r>
        <w:r>
          <w:rPr>
            <w:rStyle w:val="Hyperlink"/>
            <w:rFonts w:ascii="Open Sans" w:hAnsi="Open Sans" w:cs="Helvetica"/>
            <w:color w:val="0000CD"/>
            <w:lang w:val="en"/>
          </w:rPr>
          <w:t>u</w:t>
        </w:r>
        <w:r>
          <w:rPr>
            <w:rStyle w:val="Hyperlink"/>
            <w:rFonts w:ascii="Open Sans" w:hAnsi="Open Sans" w:cs="Helvetica"/>
            <w:color w:val="0000CD"/>
            <w:lang w:val="en"/>
          </w:rPr>
          <w:t>rally Responsive Teaching</w:t>
        </w:r>
        <w:r>
          <w:rPr>
            <w:rStyle w:val="element-invisible1"/>
            <w:rFonts w:ascii="Open Sans" w:hAnsi="Open Sans" w:cs="Helvetica"/>
            <w:color w:val="2E3192"/>
            <w:lang w:val="en"/>
          </w:rPr>
          <w:t xml:space="preserve"> (link is external)</w:t>
        </w:r>
      </w:hyperlink>
    </w:p>
    <w:p w14:paraId="538198B7" w14:textId="77777777" w:rsidR="00761F37" w:rsidRDefault="00761F37" w:rsidP="00761F37">
      <w:pPr>
        <w:pStyle w:val="NormalWeb"/>
        <w:rPr>
          <w:rFonts w:ascii="Open Sans" w:hAnsi="Open Sans" w:cs="Helvetica"/>
          <w:color w:val="464646"/>
          <w:lang w:val="en"/>
        </w:rPr>
      </w:pPr>
      <w:r>
        <w:rPr>
          <w:rFonts w:ascii="Open Sans" w:hAnsi="Open Sans" w:cs="Helvetica"/>
          <w:color w:val="464646"/>
          <w:lang w:val="en"/>
        </w:rPr>
        <w:t xml:space="preserve">This paper features an innovation configuration (IC) matrix that can guide teacher preparation </w:t>
      </w:r>
      <w:r>
        <w:rPr>
          <w:rFonts w:ascii="Open Sans" w:hAnsi="Open Sans" w:cs="Helvetica"/>
          <w:color w:val="464646"/>
          <w:sz w:val="23"/>
          <w:szCs w:val="23"/>
          <w:lang w:val="en"/>
        </w:rPr>
        <w:t xml:space="preserve">professionals in the development of appropriate culturally responsive teaching (CRT) content. </w:t>
      </w:r>
    </w:p>
    <w:p w14:paraId="176F16FE" w14:textId="7BC5043D" w:rsidR="00761F37" w:rsidRPr="006C4A5A" w:rsidRDefault="00761F37" w:rsidP="00761F37">
      <w:pPr>
        <w:pStyle w:val="Heading3"/>
        <w:rPr>
          <w:rFonts w:asciiTheme="minorHAnsi" w:hAnsiTheme="minorHAnsi" w:cs="Helvetica"/>
          <w:color w:val="464646"/>
          <w:sz w:val="24"/>
          <w:szCs w:val="24"/>
          <w:lang w:val="en"/>
        </w:rPr>
      </w:pPr>
      <w:bookmarkStart w:id="0" w:name="_GoBack"/>
      <w:bookmarkEnd w:id="0"/>
      <w:r w:rsidRPr="006C4A5A">
        <w:rPr>
          <w:rFonts w:asciiTheme="minorHAnsi" w:hAnsiTheme="minorHAnsi" w:cs="Helvetica"/>
          <w:color w:val="464646"/>
          <w:sz w:val="24"/>
          <w:szCs w:val="24"/>
          <w:lang w:val="en"/>
        </w:rPr>
        <w:t>the Equity in IDEA - Webinar Series</w:t>
      </w:r>
    </w:p>
    <w:p w14:paraId="1BD1DF80" w14:textId="77777777" w:rsidR="00761F37" w:rsidRPr="006C4A5A" w:rsidRDefault="00761F37" w:rsidP="00761F37">
      <w:pPr>
        <w:pStyle w:val="NormalWeb"/>
        <w:rPr>
          <w:rFonts w:asciiTheme="minorHAnsi" w:hAnsiTheme="minorHAnsi" w:cs="Helvetica"/>
          <w:color w:val="464646"/>
          <w:lang w:val="en"/>
        </w:rPr>
      </w:pPr>
      <w:r w:rsidRPr="006C4A5A">
        <w:rPr>
          <w:rFonts w:asciiTheme="minorHAnsi" w:hAnsiTheme="minorHAnsi" w:cs="Helvetica"/>
          <w:color w:val="464646"/>
          <w:lang w:val="en"/>
        </w:rPr>
        <w:t>Webinar 1:  </w:t>
      </w:r>
      <w:hyperlink r:id="rId11" w:tgtFrame="_blank" w:history="1">
        <w:r w:rsidRPr="006C4A5A">
          <w:rPr>
            <w:rStyle w:val="Hyperlink"/>
            <w:rFonts w:asciiTheme="minorHAnsi" w:hAnsiTheme="minorHAnsi" w:cs="Helvetica"/>
            <w:color w:val="0000CD"/>
            <w:lang w:val="en"/>
          </w:rPr>
          <w:t>Significant Disproportionality 101 - Equity in IDEA: Contents of the Final Rule - 2017</w:t>
        </w:r>
        <w:r w:rsidRPr="006C4A5A">
          <w:rPr>
            <w:rStyle w:val="element-invisible1"/>
            <w:rFonts w:asciiTheme="minorHAnsi" w:hAnsiTheme="minorHAnsi" w:cs="Helvetica"/>
            <w:color w:val="2E3192"/>
            <w:lang w:val="en"/>
          </w:rPr>
          <w:t xml:space="preserve"> (link is external)</w:t>
        </w:r>
      </w:hyperlink>
      <w:r w:rsidRPr="006C4A5A">
        <w:rPr>
          <w:rFonts w:asciiTheme="minorHAnsi" w:hAnsiTheme="minorHAnsi" w:cs="Helvetica"/>
          <w:color w:val="464646"/>
          <w:lang w:val="en"/>
        </w:rPr>
        <w:t> </w:t>
      </w:r>
    </w:p>
    <w:p w14:paraId="5D77E114" w14:textId="77777777" w:rsidR="00761F37" w:rsidRPr="006C4A5A" w:rsidRDefault="00761F37" w:rsidP="00761F37">
      <w:pPr>
        <w:numPr>
          <w:ilvl w:val="0"/>
          <w:numId w:val="1"/>
        </w:numPr>
        <w:spacing w:before="100" w:beforeAutospacing="1" w:after="100" w:afterAutospacing="1" w:line="390" w:lineRule="atLeast"/>
        <w:rPr>
          <w:rFonts w:cs="Helvetica"/>
          <w:color w:val="464646"/>
          <w:lang w:val="en"/>
        </w:rPr>
      </w:pPr>
      <w:hyperlink r:id="rId12" w:history="1">
        <w:r w:rsidRPr="006C4A5A">
          <w:rPr>
            <w:rStyle w:val="Hyperlink"/>
            <w:rFonts w:cs="Helvetica"/>
            <w:color w:val="0000CD"/>
            <w:lang w:val="en"/>
          </w:rPr>
          <w:t>PowerPoint Presentation</w:t>
        </w:r>
      </w:hyperlink>
    </w:p>
    <w:p w14:paraId="5B02A337" w14:textId="77777777" w:rsidR="00761F37" w:rsidRPr="006C4A5A" w:rsidRDefault="00761F37" w:rsidP="00761F37">
      <w:pPr>
        <w:numPr>
          <w:ilvl w:val="0"/>
          <w:numId w:val="1"/>
        </w:numPr>
        <w:spacing w:before="100" w:beforeAutospacing="1" w:after="100" w:afterAutospacing="1" w:line="390" w:lineRule="atLeast"/>
        <w:rPr>
          <w:rFonts w:cs="Helvetica"/>
          <w:color w:val="464646"/>
          <w:lang w:val="en"/>
        </w:rPr>
      </w:pPr>
      <w:hyperlink r:id="rId13" w:history="1">
        <w:r w:rsidRPr="006C4A5A">
          <w:rPr>
            <w:rStyle w:val="Hyperlink"/>
            <w:rFonts w:cs="Helvetica"/>
            <w:color w:val="0000CD"/>
            <w:lang w:val="en"/>
          </w:rPr>
          <w:t>Transcript</w:t>
        </w:r>
      </w:hyperlink>
    </w:p>
    <w:p w14:paraId="0F3C64DA" w14:textId="77777777" w:rsidR="00761F37" w:rsidRPr="006C4A5A" w:rsidRDefault="00761F37" w:rsidP="00761F37">
      <w:pPr>
        <w:pStyle w:val="NormalWeb"/>
        <w:rPr>
          <w:rFonts w:asciiTheme="minorHAnsi" w:hAnsiTheme="minorHAnsi" w:cs="Helvetica"/>
          <w:color w:val="464646"/>
          <w:lang w:val="en"/>
        </w:rPr>
      </w:pPr>
      <w:r w:rsidRPr="006C4A5A">
        <w:rPr>
          <w:rFonts w:asciiTheme="minorHAnsi" w:hAnsiTheme="minorHAnsi" w:cs="Helvetica"/>
          <w:color w:val="464646"/>
          <w:lang w:val="en"/>
        </w:rPr>
        <w:t>Webinar 2:  </w:t>
      </w:r>
      <w:hyperlink r:id="rId14" w:tgtFrame="_blank" w:history="1">
        <w:r w:rsidRPr="006C4A5A">
          <w:rPr>
            <w:rStyle w:val="Hyperlink"/>
            <w:rFonts w:asciiTheme="minorHAnsi" w:hAnsiTheme="minorHAnsi" w:cs="Helvetica"/>
            <w:color w:val="0000CD"/>
            <w:lang w:val="en"/>
          </w:rPr>
          <w:t>Significant Disproportionality 201 - Equity in IDEA: Implementing the Final Rule</w:t>
        </w:r>
        <w:r w:rsidRPr="006C4A5A">
          <w:rPr>
            <w:rStyle w:val="element-invisible1"/>
            <w:rFonts w:asciiTheme="minorHAnsi" w:hAnsiTheme="minorHAnsi" w:cs="Helvetica"/>
            <w:color w:val="2E3192"/>
            <w:lang w:val="en"/>
          </w:rPr>
          <w:t xml:space="preserve"> (link is external)</w:t>
        </w:r>
      </w:hyperlink>
      <w:r w:rsidRPr="006C4A5A">
        <w:rPr>
          <w:rFonts w:asciiTheme="minorHAnsi" w:hAnsiTheme="minorHAnsi" w:cs="Helvetica"/>
          <w:color w:val="464646"/>
          <w:lang w:val="en"/>
        </w:rPr>
        <w:t> </w:t>
      </w:r>
    </w:p>
    <w:p w14:paraId="1AF5B9F1" w14:textId="77777777" w:rsidR="00761F37" w:rsidRPr="006C4A5A" w:rsidRDefault="00761F37" w:rsidP="00761F37">
      <w:pPr>
        <w:numPr>
          <w:ilvl w:val="0"/>
          <w:numId w:val="2"/>
        </w:numPr>
        <w:spacing w:before="100" w:beforeAutospacing="1" w:after="100" w:afterAutospacing="1" w:line="390" w:lineRule="atLeast"/>
        <w:rPr>
          <w:rFonts w:cs="Helvetica"/>
          <w:color w:val="464646"/>
          <w:lang w:val="en"/>
        </w:rPr>
      </w:pPr>
      <w:hyperlink r:id="rId15" w:history="1">
        <w:r w:rsidRPr="006C4A5A">
          <w:rPr>
            <w:rStyle w:val="Hyperlink"/>
            <w:rFonts w:cs="Helvetica"/>
            <w:color w:val="0000CD"/>
            <w:lang w:val="en"/>
          </w:rPr>
          <w:t>PowerPoint Presentation</w:t>
        </w:r>
      </w:hyperlink>
    </w:p>
    <w:p w14:paraId="5FEB159C" w14:textId="77777777" w:rsidR="00761F37" w:rsidRPr="006C4A5A" w:rsidRDefault="00761F37" w:rsidP="00761F37">
      <w:pPr>
        <w:numPr>
          <w:ilvl w:val="0"/>
          <w:numId w:val="2"/>
        </w:numPr>
        <w:spacing w:before="100" w:beforeAutospacing="1" w:after="100" w:afterAutospacing="1" w:line="390" w:lineRule="atLeast"/>
        <w:rPr>
          <w:rFonts w:cs="Helvetica"/>
          <w:color w:val="464646"/>
          <w:lang w:val="en"/>
        </w:rPr>
      </w:pPr>
      <w:hyperlink r:id="rId16" w:history="1">
        <w:r w:rsidRPr="006C4A5A">
          <w:rPr>
            <w:rStyle w:val="Hyperlink"/>
            <w:rFonts w:cs="Helvetica"/>
            <w:color w:val="0000CD"/>
            <w:lang w:val="en"/>
          </w:rPr>
          <w:t>Transcript</w:t>
        </w:r>
      </w:hyperlink>
    </w:p>
    <w:p w14:paraId="025CBAE2" w14:textId="77777777" w:rsidR="006C4A5A" w:rsidRDefault="006C4A5A"/>
    <w:p w14:paraId="3A7A1EB5" w14:textId="77777777" w:rsidR="004B538F" w:rsidRPr="006C4A5A" w:rsidRDefault="006C4A5A" w:rsidP="006C4A5A">
      <w:pPr>
        <w:jc w:val="center"/>
        <w:rPr>
          <w:b/>
          <w:sz w:val="32"/>
          <w:szCs w:val="32"/>
        </w:rPr>
      </w:pPr>
      <w:r w:rsidRPr="006C4A5A">
        <w:rPr>
          <w:b/>
          <w:sz w:val="32"/>
          <w:szCs w:val="32"/>
        </w:rPr>
        <w:lastRenderedPageBreak/>
        <w:t>Understanding the Standard Methodology</w:t>
      </w:r>
    </w:p>
    <w:p w14:paraId="79F8DED8" w14:textId="77777777" w:rsidR="004B538F" w:rsidRDefault="004B538F" w:rsidP="006C4A5A">
      <w:pPr>
        <w:jc w:val="center"/>
      </w:pPr>
      <w:r w:rsidRPr="004B538F">
        <w:rPr>
          <w:noProof/>
        </w:rPr>
        <w:drawing>
          <wp:inline distT="0" distB="0" distL="0" distR="0" wp14:anchorId="6BF7105C" wp14:editId="0673840D">
            <wp:extent cx="4572638" cy="3429479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3429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89F42F" w14:textId="77777777" w:rsidR="006C4A5A" w:rsidRDefault="006C4A5A" w:rsidP="006C4A5A">
      <w:pPr>
        <w:jc w:val="center"/>
      </w:pPr>
      <w:r w:rsidRPr="006C4A5A">
        <w:rPr>
          <w:noProof/>
        </w:rPr>
        <w:drawing>
          <wp:inline distT="0" distB="0" distL="0" distR="0" wp14:anchorId="71C8524C" wp14:editId="76CC4180">
            <wp:extent cx="4572638" cy="3429479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3429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69A8AF" w14:textId="77777777" w:rsidR="006C4A5A" w:rsidRDefault="006C4A5A" w:rsidP="006C4A5A">
      <w:pPr>
        <w:jc w:val="center"/>
      </w:pPr>
    </w:p>
    <w:p w14:paraId="2E7913D9" w14:textId="77777777" w:rsidR="006C4A5A" w:rsidRDefault="006C4A5A" w:rsidP="006C4A5A">
      <w:pPr>
        <w:jc w:val="center"/>
      </w:pPr>
      <w:r>
        <w:t>Risk Ratio of 2.0 = 2x as likely</w:t>
      </w:r>
    </w:p>
    <w:p w14:paraId="75FB303D" w14:textId="77777777" w:rsidR="006C4A5A" w:rsidRDefault="006C4A5A" w:rsidP="006C4A5A">
      <w:pPr>
        <w:jc w:val="center"/>
      </w:pPr>
      <w:r>
        <w:t>Risk Ratio of 2.5 = 2.5x as likely</w:t>
      </w:r>
    </w:p>
    <w:sectPr w:rsidR="006C4A5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en San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6D748C"/>
    <w:multiLevelType w:val="multilevel"/>
    <w:tmpl w:val="CB145C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80F4389"/>
    <w:multiLevelType w:val="multilevel"/>
    <w:tmpl w:val="44CE0F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84D0FE9"/>
    <w:multiLevelType w:val="multilevel"/>
    <w:tmpl w:val="097066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538F"/>
    <w:rsid w:val="002E5958"/>
    <w:rsid w:val="004B538F"/>
    <w:rsid w:val="006C4A5A"/>
    <w:rsid w:val="00761F37"/>
    <w:rsid w:val="00D40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59FCFF"/>
  <w15:chartTrackingRefBased/>
  <w15:docId w15:val="{1A758D9C-7BD9-41BF-873C-3728865C9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6C4A5A"/>
    <w:pPr>
      <w:spacing w:before="300" w:after="150" w:line="450" w:lineRule="atLeast"/>
      <w:outlineLvl w:val="2"/>
    </w:pPr>
    <w:rPr>
      <w:rFonts w:ascii="inherit" w:eastAsia="Times New Roman" w:hAnsi="inherit" w:cs="Times New Roman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B538F"/>
    <w:rPr>
      <w:color w:val="0563C1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6C4A5A"/>
    <w:rPr>
      <w:rFonts w:ascii="inherit" w:eastAsia="Times New Roman" w:hAnsi="inherit" w:cs="Times New Roman"/>
      <w:sz w:val="36"/>
      <w:szCs w:val="36"/>
    </w:rPr>
  </w:style>
  <w:style w:type="paragraph" w:styleId="NormalWeb">
    <w:name w:val="Normal (Web)"/>
    <w:basedOn w:val="Normal"/>
    <w:uiPriority w:val="99"/>
    <w:unhideWhenUsed/>
    <w:rsid w:val="006C4A5A"/>
    <w:pPr>
      <w:spacing w:after="270" w:line="390" w:lineRule="atLeas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lement-invisible1">
    <w:name w:val="element-invisible1"/>
    <w:basedOn w:val="DefaultParagraphFont"/>
    <w:rsid w:val="006C4A5A"/>
  </w:style>
  <w:style w:type="character" w:styleId="FollowedHyperlink">
    <w:name w:val="FollowedHyperlink"/>
    <w:basedOn w:val="DefaultParagraphFont"/>
    <w:uiPriority w:val="99"/>
    <w:semiHidden/>
    <w:unhideWhenUsed/>
    <w:rsid w:val="00761F3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7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82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38921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1515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747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1954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0277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0769685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09571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06049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06923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98614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25943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713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63554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397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39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8202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712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627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0545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4805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4681078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744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1815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6932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01855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90150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557592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250203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513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26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5730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1542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565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8807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9872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6104390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3490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65008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0266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10169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72284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6233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92005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858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79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15950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457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239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8822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8959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837688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64495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50245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2428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64942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03438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685194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5839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deadata.org/resources/resource/133/equity-inclusion-and-opportunity-addressing-success-gaps-indicators-of" TargetMode="External"/><Relationship Id="rId13" Type="http://schemas.openxmlformats.org/officeDocument/2006/relationships/hyperlink" Target="https://www.osepideasthatwork.org/sites/default/files/Disproportionality%20101_Transcript.pdf" TargetMode="External"/><Relationship Id="rId1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s://ideadata.org/toolkits/resources/guidelines/Equity_Inclusion_Opportunity_Guidelines.pdf" TargetMode="External"/><Relationship Id="rId12" Type="http://schemas.openxmlformats.org/officeDocument/2006/relationships/hyperlink" Target="https://www.osepideasthatwork.org/sites/default/files/Equity%20in%20IDEA%20Contents%20of%20the%20Final%20Rule%20Webinar.pptx" TargetMode="External"/><Relationship Id="rId1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hyperlink" Target="https://www.osepideasthatwork.org/sites/default/files/Significant%20Disproportionality%20201%20Webinar.pdf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ideadata.org/resources/resource/1538/success-gaps-toolkit" TargetMode="External"/><Relationship Id="rId11" Type="http://schemas.openxmlformats.org/officeDocument/2006/relationships/hyperlink" Target="https://youtu.be/g8xbJr9QruE" TargetMode="External"/><Relationship Id="rId5" Type="http://schemas.openxmlformats.org/officeDocument/2006/relationships/hyperlink" Target="https://osepideasthatwork.org/federal-resources-stakeholders/disproportionality-and-equity" TargetMode="External"/><Relationship Id="rId15" Type="http://schemas.openxmlformats.org/officeDocument/2006/relationships/hyperlink" Target="https://www.osepideasthatwork.org/sites/default/files/SigDis%20201_EquityInIDEA_ImplementingTheFinalRule_3-27-17%20%28002%29.pptx" TargetMode="External"/><Relationship Id="rId10" Type="http://schemas.openxmlformats.org/officeDocument/2006/relationships/hyperlink" Target="http://ceedar.education.ufl.edu/wp-content/uploads/2014/08/culturally-responsive.pdf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osepideasthatwork.org/sites/default/files/significant-disproportionality-qa-03-08-17.pdf" TargetMode="External"/><Relationship Id="rId14" Type="http://schemas.openxmlformats.org/officeDocument/2006/relationships/hyperlink" Target="https://youtu.be/c-57kldHpzs?list=PLOEcbgBUbdMfEL_EyNE4dXBZQ2LUnCz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441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RIDE</Company>
  <LinksUpToDate>false</LinksUpToDate>
  <CharactersWithSpaces>2953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Klein, Emily</dc:creator>
  <cp:keywords/>
  <dc:description/>
  <cp:lastModifiedBy>Klein, Emily</cp:lastModifiedBy>
  <cp:revision>2</cp:revision>
  <dcterms:created xsi:type="dcterms:W3CDTF">2017-07-25T12:57:00Z</dcterms:created>
  <dcterms:modified xsi:type="dcterms:W3CDTF">2018-05-01T13:43:00Z</dcterms:modified>
</cp:coreProperties>
</file>